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CF8" w:rsidRPr="004536AD" w:rsidRDefault="00760CF8" w:rsidP="00760CF8">
      <w:pPr>
        <w:pStyle w:val="Nagwek1"/>
        <w:numPr>
          <w:ilvl w:val="0"/>
          <w:numId w:val="0"/>
        </w:numPr>
        <w:jc w:val="center"/>
        <w:rPr>
          <w:rFonts w:cs="Arial"/>
          <w:sz w:val="36"/>
          <w:szCs w:val="36"/>
        </w:rPr>
      </w:pPr>
      <w:bookmarkStart w:id="0" w:name="_Ref53489950"/>
      <w:r>
        <w:rPr>
          <w:rFonts w:cs="Arial"/>
          <w:sz w:val="36"/>
          <w:szCs w:val="36"/>
        </w:rPr>
        <w:t>Załącznik nr 8</w:t>
      </w:r>
    </w:p>
    <w:bookmarkEnd w:id="0"/>
    <w:p w:rsidR="00760CF8" w:rsidRDefault="00760CF8" w:rsidP="00760CF8">
      <w:pPr>
        <w:jc w:val="center"/>
        <w:rPr>
          <w:rFonts w:cs="Arial"/>
          <w:b/>
          <w:bCs/>
          <w:sz w:val="32"/>
          <w:szCs w:val="32"/>
        </w:rPr>
      </w:pPr>
    </w:p>
    <w:p w:rsidR="00760CF8" w:rsidRPr="00911C53" w:rsidRDefault="00760CF8" w:rsidP="00760CF8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bookmarkStart w:id="1" w:name="_Ref53745996"/>
      <w:r w:rsidRPr="00911C53">
        <w:rPr>
          <w:rFonts w:asciiTheme="minorHAnsi" w:hAnsiTheme="minorHAnsi" w:cstheme="minorHAnsi"/>
          <w:b/>
          <w:bCs/>
          <w:sz w:val="32"/>
          <w:szCs w:val="32"/>
        </w:rPr>
        <w:t>do UMOWY SERWISOWEJ nr ………………</w:t>
      </w:r>
      <w:bookmarkEnd w:id="1"/>
    </w:p>
    <w:p w:rsidR="00760CF8" w:rsidRPr="00911C53" w:rsidRDefault="00760CF8" w:rsidP="00760CF8">
      <w:pPr>
        <w:jc w:val="center"/>
        <w:rPr>
          <w:rFonts w:asciiTheme="minorHAnsi" w:hAnsiTheme="minorHAnsi" w:cstheme="minorHAnsi"/>
          <w:b/>
          <w:bCs/>
        </w:rPr>
      </w:pPr>
    </w:p>
    <w:p w:rsidR="00760CF8" w:rsidRPr="00911C53" w:rsidRDefault="00760CF8" w:rsidP="00760CF8">
      <w:pPr>
        <w:jc w:val="center"/>
        <w:rPr>
          <w:rFonts w:asciiTheme="minorHAnsi" w:hAnsiTheme="minorHAnsi" w:cstheme="minorHAnsi"/>
          <w:b/>
          <w:bCs/>
        </w:rPr>
      </w:pPr>
    </w:p>
    <w:p w:rsidR="00760CF8" w:rsidRPr="00911C53" w:rsidRDefault="00760CF8" w:rsidP="00760CF8">
      <w:pPr>
        <w:jc w:val="center"/>
        <w:rPr>
          <w:rFonts w:asciiTheme="minorHAnsi" w:hAnsiTheme="minorHAnsi" w:cstheme="minorHAnsi"/>
          <w:b/>
          <w:bCs/>
          <w:caps/>
          <w:sz w:val="40"/>
          <w:szCs w:val="40"/>
        </w:rPr>
      </w:pPr>
      <w:r w:rsidRPr="00911C53">
        <w:rPr>
          <w:rFonts w:asciiTheme="minorHAnsi" w:hAnsiTheme="minorHAnsi" w:cstheme="minorHAnsi"/>
          <w:b/>
          <w:bCs/>
          <w:caps/>
          <w:sz w:val="40"/>
          <w:szCs w:val="40"/>
        </w:rPr>
        <w:t>Parametry Gwarantowane</w:t>
      </w:r>
      <w:r>
        <w:rPr>
          <w:rFonts w:asciiTheme="minorHAnsi" w:hAnsiTheme="minorHAnsi" w:cstheme="minorHAnsi"/>
          <w:b/>
          <w:bCs/>
          <w:caps/>
          <w:sz w:val="40"/>
          <w:szCs w:val="40"/>
        </w:rPr>
        <w:t xml:space="preserve"> UMOWY SERWISOWEJ</w:t>
      </w:r>
    </w:p>
    <w:p w:rsidR="00760CF8" w:rsidRDefault="00760CF8" w:rsidP="00760CF8">
      <w:pPr>
        <w:rPr>
          <w:rFonts w:ascii="Calibri" w:hAnsi="Calibri" w:cs="Calibri"/>
          <w:sz w:val="22"/>
          <w:szCs w:val="22"/>
        </w:rPr>
      </w:pPr>
    </w:p>
    <w:p w:rsidR="00760CF8" w:rsidRDefault="00760CF8" w:rsidP="00760CF8">
      <w:pPr>
        <w:rPr>
          <w:rFonts w:ascii="Calibri" w:hAnsi="Calibri" w:cs="Calibri"/>
          <w:sz w:val="22"/>
          <w:szCs w:val="22"/>
        </w:rPr>
      </w:pPr>
    </w:p>
    <w:p w:rsidR="00760CF8" w:rsidRDefault="00760CF8" w:rsidP="00760CF8">
      <w:pPr>
        <w:rPr>
          <w:rFonts w:ascii="Calibri" w:hAnsi="Calibri" w:cs="Calibri"/>
          <w:sz w:val="22"/>
          <w:szCs w:val="22"/>
        </w:rPr>
      </w:pPr>
    </w:p>
    <w:p w:rsidR="00760CF8" w:rsidRDefault="00760CF8" w:rsidP="00760CF8">
      <w:pPr>
        <w:rPr>
          <w:rFonts w:ascii="Calibri" w:hAnsi="Calibri" w:cs="Calibri"/>
          <w:sz w:val="22"/>
          <w:szCs w:val="22"/>
        </w:rPr>
      </w:pPr>
    </w:p>
    <w:p w:rsidR="00760CF8" w:rsidRDefault="00760CF8" w:rsidP="00760CF8">
      <w:pPr>
        <w:rPr>
          <w:rFonts w:ascii="Calibri" w:hAnsi="Calibri" w:cs="Calibri"/>
          <w:sz w:val="22"/>
          <w:szCs w:val="22"/>
        </w:rPr>
      </w:pPr>
    </w:p>
    <w:p w:rsidR="00760CF8" w:rsidRDefault="00760CF8" w:rsidP="00760CF8">
      <w:pPr>
        <w:rPr>
          <w:rFonts w:ascii="Calibri" w:hAnsi="Calibri" w:cs="Calibri"/>
          <w:sz w:val="22"/>
          <w:szCs w:val="22"/>
        </w:rPr>
      </w:pPr>
    </w:p>
    <w:p w:rsidR="00760CF8" w:rsidRDefault="00760CF8" w:rsidP="00760CF8">
      <w:pPr>
        <w:rPr>
          <w:rFonts w:ascii="Calibri" w:hAnsi="Calibri" w:cs="Calibri"/>
          <w:sz w:val="22"/>
          <w:szCs w:val="22"/>
        </w:rPr>
      </w:pPr>
    </w:p>
    <w:p w:rsidR="00760CF8" w:rsidRDefault="00760CF8" w:rsidP="00760CF8">
      <w:pPr>
        <w:rPr>
          <w:rFonts w:ascii="Calibri" w:hAnsi="Calibri" w:cs="Calibri"/>
          <w:sz w:val="22"/>
          <w:szCs w:val="22"/>
        </w:rPr>
      </w:pPr>
    </w:p>
    <w:p w:rsidR="00760CF8" w:rsidRDefault="00760CF8" w:rsidP="00760CF8">
      <w:pPr>
        <w:rPr>
          <w:rFonts w:ascii="Calibri" w:hAnsi="Calibri" w:cs="Calibri"/>
          <w:sz w:val="22"/>
          <w:szCs w:val="22"/>
        </w:rPr>
      </w:pPr>
    </w:p>
    <w:p w:rsidR="00760CF8" w:rsidRDefault="00760CF8" w:rsidP="00760CF8">
      <w:pPr>
        <w:rPr>
          <w:rFonts w:ascii="Calibri" w:hAnsi="Calibri" w:cs="Calibri"/>
          <w:sz w:val="22"/>
          <w:szCs w:val="22"/>
        </w:rPr>
      </w:pPr>
    </w:p>
    <w:p w:rsidR="00760CF8" w:rsidRDefault="00760CF8" w:rsidP="00760CF8">
      <w:pPr>
        <w:rPr>
          <w:rFonts w:ascii="Calibri" w:hAnsi="Calibri" w:cs="Calibri"/>
          <w:sz w:val="22"/>
          <w:szCs w:val="22"/>
        </w:rPr>
      </w:pPr>
    </w:p>
    <w:p w:rsidR="00760CF8" w:rsidRDefault="00760CF8" w:rsidP="00760CF8">
      <w:pPr>
        <w:rPr>
          <w:rFonts w:ascii="Calibri" w:hAnsi="Calibri" w:cs="Calibri"/>
          <w:sz w:val="22"/>
          <w:szCs w:val="22"/>
        </w:rPr>
      </w:pPr>
    </w:p>
    <w:p w:rsidR="00760CF8" w:rsidRDefault="00760CF8" w:rsidP="00760CF8">
      <w:pPr>
        <w:rPr>
          <w:rFonts w:ascii="Calibri" w:hAnsi="Calibri" w:cs="Calibri"/>
          <w:sz w:val="22"/>
          <w:szCs w:val="22"/>
        </w:rPr>
      </w:pPr>
    </w:p>
    <w:p w:rsidR="00760CF8" w:rsidRDefault="00760CF8" w:rsidP="00760CF8">
      <w:pPr>
        <w:rPr>
          <w:rFonts w:ascii="Calibri" w:hAnsi="Calibri" w:cs="Calibri"/>
          <w:sz w:val="22"/>
          <w:szCs w:val="22"/>
        </w:rPr>
      </w:pPr>
    </w:p>
    <w:p w:rsidR="00760CF8" w:rsidRDefault="00760CF8" w:rsidP="00760CF8">
      <w:pPr>
        <w:rPr>
          <w:rFonts w:ascii="Calibri" w:hAnsi="Calibri" w:cs="Calibri"/>
          <w:sz w:val="22"/>
          <w:szCs w:val="22"/>
        </w:rPr>
      </w:pPr>
    </w:p>
    <w:p w:rsidR="00760CF8" w:rsidRDefault="00760CF8" w:rsidP="00760CF8">
      <w:pPr>
        <w:rPr>
          <w:rFonts w:ascii="Calibri" w:hAnsi="Calibri" w:cs="Calibri"/>
          <w:sz w:val="22"/>
          <w:szCs w:val="22"/>
        </w:rPr>
      </w:pPr>
    </w:p>
    <w:p w:rsidR="00760CF8" w:rsidRDefault="00760CF8" w:rsidP="00760CF8">
      <w:pPr>
        <w:rPr>
          <w:rFonts w:ascii="Calibri" w:hAnsi="Calibri" w:cs="Calibri"/>
          <w:sz w:val="22"/>
          <w:szCs w:val="22"/>
        </w:rPr>
      </w:pPr>
    </w:p>
    <w:p w:rsidR="00760CF8" w:rsidRDefault="00760CF8" w:rsidP="00760CF8">
      <w:pPr>
        <w:rPr>
          <w:rFonts w:ascii="Calibri" w:hAnsi="Calibri" w:cs="Calibri"/>
          <w:sz w:val="22"/>
          <w:szCs w:val="22"/>
        </w:rPr>
      </w:pPr>
    </w:p>
    <w:p w:rsidR="00760CF8" w:rsidRDefault="00760CF8" w:rsidP="00760CF8">
      <w:pPr>
        <w:rPr>
          <w:rFonts w:ascii="Calibri" w:hAnsi="Calibri" w:cs="Calibri"/>
          <w:sz w:val="22"/>
          <w:szCs w:val="22"/>
        </w:rPr>
      </w:pPr>
    </w:p>
    <w:p w:rsidR="00760CF8" w:rsidRDefault="00760CF8" w:rsidP="00760CF8">
      <w:pPr>
        <w:rPr>
          <w:rFonts w:ascii="Calibri" w:hAnsi="Calibri" w:cs="Calibri"/>
          <w:sz w:val="22"/>
          <w:szCs w:val="22"/>
        </w:rPr>
      </w:pPr>
    </w:p>
    <w:p w:rsidR="00760CF8" w:rsidRDefault="00760CF8" w:rsidP="00760CF8">
      <w:pPr>
        <w:rPr>
          <w:rFonts w:ascii="Calibri" w:hAnsi="Calibri" w:cs="Calibri"/>
          <w:sz w:val="22"/>
          <w:szCs w:val="22"/>
        </w:rPr>
      </w:pPr>
    </w:p>
    <w:p w:rsidR="00760CF8" w:rsidRDefault="00760CF8" w:rsidP="00760CF8">
      <w:pPr>
        <w:rPr>
          <w:rFonts w:ascii="Calibri" w:hAnsi="Calibri" w:cs="Calibri"/>
          <w:sz w:val="22"/>
          <w:szCs w:val="22"/>
        </w:rPr>
      </w:pPr>
    </w:p>
    <w:p w:rsidR="00760CF8" w:rsidRDefault="00760CF8" w:rsidP="00760CF8">
      <w:pPr>
        <w:rPr>
          <w:rFonts w:ascii="Calibri" w:hAnsi="Calibri" w:cs="Calibri"/>
          <w:sz w:val="22"/>
          <w:szCs w:val="22"/>
        </w:rPr>
      </w:pPr>
    </w:p>
    <w:p w:rsidR="00760CF8" w:rsidRDefault="00760CF8" w:rsidP="00760CF8">
      <w:pPr>
        <w:rPr>
          <w:rFonts w:ascii="Calibri" w:hAnsi="Calibri" w:cs="Calibri"/>
          <w:sz w:val="22"/>
          <w:szCs w:val="22"/>
        </w:rPr>
      </w:pPr>
    </w:p>
    <w:p w:rsidR="00760CF8" w:rsidRDefault="00760CF8" w:rsidP="00760CF8">
      <w:pPr>
        <w:rPr>
          <w:rFonts w:ascii="Calibri" w:hAnsi="Calibri" w:cs="Calibri"/>
          <w:sz w:val="22"/>
          <w:szCs w:val="22"/>
        </w:rPr>
      </w:pPr>
    </w:p>
    <w:p w:rsidR="00760CF8" w:rsidRDefault="00760CF8" w:rsidP="00760CF8">
      <w:pPr>
        <w:rPr>
          <w:rFonts w:ascii="Calibri" w:hAnsi="Calibri" w:cs="Calibri"/>
          <w:sz w:val="22"/>
          <w:szCs w:val="22"/>
        </w:rPr>
      </w:pPr>
    </w:p>
    <w:p w:rsidR="00760CF8" w:rsidRDefault="00760CF8" w:rsidP="00760CF8">
      <w:pPr>
        <w:rPr>
          <w:rFonts w:ascii="Calibri" w:hAnsi="Calibri" w:cs="Calibri"/>
          <w:sz w:val="22"/>
          <w:szCs w:val="22"/>
        </w:rPr>
      </w:pPr>
    </w:p>
    <w:p w:rsidR="00760CF8" w:rsidRDefault="00760CF8" w:rsidP="00760CF8">
      <w:pPr>
        <w:rPr>
          <w:rFonts w:ascii="Calibri" w:hAnsi="Calibri" w:cs="Calibri"/>
          <w:sz w:val="22"/>
          <w:szCs w:val="22"/>
        </w:rPr>
      </w:pPr>
    </w:p>
    <w:p w:rsidR="00760CF8" w:rsidRDefault="00760CF8" w:rsidP="00760CF8">
      <w:pPr>
        <w:rPr>
          <w:rFonts w:ascii="Calibri" w:hAnsi="Calibri" w:cs="Calibri"/>
          <w:sz w:val="22"/>
          <w:szCs w:val="22"/>
        </w:rPr>
      </w:pPr>
    </w:p>
    <w:p w:rsidR="00760CF8" w:rsidRDefault="00760CF8" w:rsidP="00760CF8">
      <w:pPr>
        <w:rPr>
          <w:rFonts w:ascii="Calibri" w:hAnsi="Calibri" w:cs="Calibri"/>
          <w:sz w:val="22"/>
          <w:szCs w:val="22"/>
        </w:rPr>
      </w:pPr>
    </w:p>
    <w:p w:rsidR="00760CF8" w:rsidRDefault="00760CF8" w:rsidP="00760CF8">
      <w:pPr>
        <w:rPr>
          <w:rFonts w:ascii="Calibri" w:hAnsi="Calibri" w:cs="Calibri"/>
          <w:sz w:val="22"/>
          <w:szCs w:val="22"/>
        </w:rPr>
      </w:pPr>
    </w:p>
    <w:p w:rsidR="00760CF8" w:rsidRDefault="00760CF8" w:rsidP="00760CF8">
      <w:pPr>
        <w:rPr>
          <w:rFonts w:ascii="Calibri" w:hAnsi="Calibri" w:cs="Calibri"/>
          <w:sz w:val="22"/>
          <w:szCs w:val="22"/>
        </w:rPr>
      </w:pPr>
    </w:p>
    <w:p w:rsidR="00760CF8" w:rsidRDefault="00760CF8" w:rsidP="00760CF8">
      <w:pPr>
        <w:rPr>
          <w:rFonts w:ascii="Calibri" w:hAnsi="Calibri" w:cs="Calibri"/>
          <w:sz w:val="22"/>
          <w:szCs w:val="22"/>
        </w:rPr>
      </w:pPr>
    </w:p>
    <w:p w:rsidR="00760CF8" w:rsidRDefault="00760CF8" w:rsidP="00760CF8">
      <w:pPr>
        <w:rPr>
          <w:rFonts w:ascii="Calibri" w:hAnsi="Calibri" w:cs="Calibri"/>
          <w:sz w:val="22"/>
          <w:szCs w:val="22"/>
        </w:rPr>
      </w:pPr>
    </w:p>
    <w:p w:rsidR="00760CF8" w:rsidRDefault="00760CF8" w:rsidP="00760CF8">
      <w:pPr>
        <w:rPr>
          <w:rFonts w:ascii="Calibri" w:hAnsi="Calibri" w:cs="Calibri"/>
          <w:sz w:val="22"/>
          <w:szCs w:val="22"/>
        </w:rPr>
      </w:pPr>
    </w:p>
    <w:p w:rsidR="00760CF8" w:rsidRDefault="00760CF8" w:rsidP="00760CF8">
      <w:pPr>
        <w:rPr>
          <w:rFonts w:ascii="Calibri" w:hAnsi="Calibri" w:cs="Calibri"/>
          <w:sz w:val="22"/>
          <w:szCs w:val="22"/>
        </w:rPr>
      </w:pPr>
    </w:p>
    <w:p w:rsidR="00760CF8" w:rsidRDefault="00760CF8" w:rsidP="00760CF8">
      <w:pPr>
        <w:jc w:val="both"/>
        <w:rPr>
          <w:rFonts w:asciiTheme="minorHAnsi" w:hAnsiTheme="minorHAnsi" w:cstheme="minorHAnsi"/>
          <w:b/>
          <w:bCs/>
          <w:i/>
          <w:color w:val="C00000"/>
        </w:rPr>
      </w:pPr>
    </w:p>
    <w:p w:rsidR="00760CF8" w:rsidRDefault="00760CF8" w:rsidP="00760CF8">
      <w:pPr>
        <w:jc w:val="both"/>
        <w:rPr>
          <w:rFonts w:asciiTheme="minorHAnsi" w:hAnsiTheme="minorHAnsi" w:cstheme="minorHAnsi"/>
          <w:b/>
          <w:bCs/>
          <w:i/>
          <w:color w:val="C00000"/>
        </w:rPr>
      </w:pPr>
    </w:p>
    <w:p w:rsidR="00760CF8" w:rsidRDefault="00760CF8" w:rsidP="00760CF8">
      <w:pPr>
        <w:jc w:val="both"/>
        <w:rPr>
          <w:rFonts w:asciiTheme="minorHAnsi" w:hAnsiTheme="minorHAnsi" w:cstheme="minorHAnsi"/>
          <w:b/>
          <w:bCs/>
          <w:i/>
          <w:color w:val="C00000"/>
        </w:rPr>
      </w:pPr>
    </w:p>
    <w:p w:rsidR="00760CF8" w:rsidRDefault="00760CF8" w:rsidP="00760CF8">
      <w:pPr>
        <w:jc w:val="both"/>
        <w:rPr>
          <w:rFonts w:asciiTheme="minorHAnsi" w:hAnsiTheme="minorHAnsi" w:cstheme="minorHAnsi"/>
          <w:b/>
          <w:bCs/>
          <w:i/>
          <w:color w:val="C00000"/>
        </w:rPr>
      </w:pPr>
    </w:p>
    <w:p w:rsidR="00760CF8" w:rsidRPr="00D05DCD" w:rsidRDefault="00760CF8" w:rsidP="00760CF8">
      <w:pPr>
        <w:jc w:val="both"/>
        <w:rPr>
          <w:rFonts w:asciiTheme="minorHAnsi" w:hAnsiTheme="minorHAnsi" w:cstheme="minorHAnsi"/>
          <w:b/>
          <w:bCs/>
          <w:i/>
          <w:color w:val="C00000"/>
        </w:rPr>
      </w:pPr>
      <w:bookmarkStart w:id="2" w:name="_GoBack"/>
      <w:bookmarkEnd w:id="2"/>
      <w:r w:rsidRPr="00D05DCD">
        <w:rPr>
          <w:rFonts w:asciiTheme="minorHAnsi" w:hAnsiTheme="minorHAnsi" w:cstheme="minorHAnsi"/>
          <w:b/>
          <w:bCs/>
          <w:i/>
          <w:color w:val="C00000"/>
        </w:rPr>
        <w:lastRenderedPageBreak/>
        <w:t>Uzupełniające uwagi do Wykonawcy:</w:t>
      </w:r>
    </w:p>
    <w:p w:rsidR="00760CF8" w:rsidRPr="00D05DCD" w:rsidRDefault="00760CF8" w:rsidP="00760CF8">
      <w:pPr>
        <w:jc w:val="both"/>
        <w:rPr>
          <w:rFonts w:asciiTheme="minorHAnsi" w:hAnsiTheme="minorHAnsi" w:cstheme="minorHAnsi"/>
          <w:bCs/>
          <w:i/>
          <w:color w:val="C00000"/>
        </w:rPr>
      </w:pPr>
    </w:p>
    <w:p w:rsidR="00760CF8" w:rsidRPr="00D05DCD" w:rsidRDefault="00760CF8" w:rsidP="00760CF8">
      <w:pPr>
        <w:jc w:val="both"/>
        <w:rPr>
          <w:rFonts w:asciiTheme="minorHAnsi" w:hAnsiTheme="minorHAnsi" w:cstheme="minorHAnsi"/>
          <w:bCs/>
          <w:i/>
          <w:color w:val="C00000"/>
        </w:rPr>
      </w:pPr>
      <w:r w:rsidRPr="00D05DCD">
        <w:rPr>
          <w:rFonts w:asciiTheme="minorHAnsi" w:hAnsiTheme="minorHAnsi" w:cstheme="minorHAnsi"/>
          <w:bCs/>
          <w:i/>
          <w:color w:val="C00000"/>
        </w:rPr>
        <w:t xml:space="preserve">Wraz  z  Ofertą  składaną  w  niniejszym  postępowaniu  Wykonawca  </w:t>
      </w:r>
      <w:r w:rsidRPr="00D05DCD">
        <w:rPr>
          <w:rFonts w:asciiTheme="minorHAnsi" w:hAnsiTheme="minorHAnsi" w:cstheme="minorHAnsi"/>
          <w:b/>
          <w:bCs/>
          <w:i/>
          <w:color w:val="C00000"/>
          <w:u w:val="single"/>
        </w:rPr>
        <w:t>nie  przedkłada</w:t>
      </w:r>
      <w:r w:rsidRPr="00D05DCD">
        <w:rPr>
          <w:rFonts w:asciiTheme="minorHAnsi" w:hAnsiTheme="minorHAnsi" w:cstheme="minorHAnsi"/>
          <w:bCs/>
          <w:i/>
          <w:color w:val="C00000"/>
        </w:rPr>
        <w:t xml:space="preserve">  niniejszego Załącznika  nr 8 do  Umowy  Serwisowej.  </w:t>
      </w:r>
    </w:p>
    <w:p w:rsidR="00760CF8" w:rsidRPr="00D05DCD" w:rsidRDefault="00760CF8" w:rsidP="00760CF8">
      <w:pPr>
        <w:rPr>
          <w:rFonts w:asciiTheme="minorHAnsi" w:hAnsiTheme="minorHAnsi" w:cstheme="minorHAnsi"/>
          <w:bCs/>
          <w:i/>
          <w:color w:val="C00000"/>
        </w:rPr>
      </w:pPr>
    </w:p>
    <w:p w:rsidR="00760CF8" w:rsidRPr="00D05DCD" w:rsidRDefault="00760CF8" w:rsidP="00760CF8">
      <w:pPr>
        <w:jc w:val="both"/>
        <w:rPr>
          <w:rFonts w:ascii="Calibri" w:hAnsi="Calibri" w:cs="Calibri"/>
          <w:color w:val="C00000"/>
          <w:kern w:val="28"/>
          <w:szCs w:val="20"/>
        </w:rPr>
      </w:pPr>
      <w:r w:rsidRPr="00D05DCD">
        <w:rPr>
          <w:rFonts w:asciiTheme="minorHAnsi" w:hAnsiTheme="minorHAnsi" w:cstheme="minorHAnsi"/>
          <w:bCs/>
          <w:i/>
          <w:color w:val="C00000"/>
        </w:rPr>
        <w:t>Niniejszy  Załącznik  nr 8 w  przedstawionej  poniżej  treści  zostanie włączony   do  projektu  Umowy  Serwisowej  przygotowanego  przez  Wykonawcę  przed  jej zawarciem zgodnie z pkt [26.3] Instrukcji dla Wykonawców (Część I SWZ), z zastrzeżeniem że wartości Parametrów Gwarantowanych Umowy Serwisowej zostaną przepisane ze złożonego przez Wykonawcę wraz z Ofertą  Formularza ofertowego i załącznika do Formularza Ofertowego- Parametry Gwarantowane i NPVR</w:t>
      </w:r>
      <w:r w:rsidRPr="00D05DCD">
        <w:rPr>
          <w:rFonts w:ascii="Calibri" w:hAnsi="Calibri" w:cs="Calibri"/>
          <w:color w:val="C00000"/>
          <w:kern w:val="28"/>
          <w:szCs w:val="20"/>
        </w:rPr>
        <w:t xml:space="preserve"> .</w:t>
      </w:r>
    </w:p>
    <w:p w:rsidR="00760CF8" w:rsidRPr="00D05DCD" w:rsidRDefault="00760CF8" w:rsidP="00760CF8">
      <w:pPr>
        <w:jc w:val="both"/>
        <w:rPr>
          <w:rFonts w:ascii="Calibri" w:hAnsi="Calibri" w:cs="Calibri"/>
          <w:color w:val="C00000"/>
          <w:kern w:val="28"/>
          <w:szCs w:val="20"/>
        </w:rPr>
      </w:pPr>
    </w:p>
    <w:p w:rsidR="00760CF8" w:rsidRPr="00D05DCD" w:rsidRDefault="00760CF8" w:rsidP="00760CF8">
      <w:pPr>
        <w:jc w:val="both"/>
        <w:rPr>
          <w:rFonts w:asciiTheme="minorHAnsi" w:hAnsiTheme="minorHAnsi"/>
          <w:i/>
          <w:color w:val="C00000"/>
        </w:rPr>
      </w:pPr>
      <w:r w:rsidRPr="00D05DCD">
        <w:rPr>
          <w:rFonts w:asciiTheme="minorHAnsi" w:hAnsiTheme="minorHAnsi"/>
          <w:i/>
          <w:color w:val="C00000"/>
        </w:rPr>
        <w:t xml:space="preserve">Wykonawca odpowiada za prawidłowe sporządzenie Załącznika nr 8. Wykonawca nie będzie wprowadzał żadnych zmian do niniejszego Załącznika nr 8 do Umowy Serwisowej poza </w:t>
      </w:r>
      <w:r w:rsidRPr="00D05DCD">
        <w:rPr>
          <w:rFonts w:asciiTheme="minorHAnsi" w:hAnsiTheme="minorHAnsi" w:cs="Arial"/>
          <w:i/>
          <w:color w:val="C00000"/>
        </w:rPr>
        <w:t>uzupełnieniami wskazanymi w treści Załącznika zgodnie z odpowiednimi wytycznymi Zamawiającego,</w:t>
      </w:r>
    </w:p>
    <w:p w:rsidR="00760CF8" w:rsidRPr="00D05DCD" w:rsidRDefault="00760CF8" w:rsidP="00760CF8">
      <w:pPr>
        <w:jc w:val="both"/>
        <w:rPr>
          <w:rFonts w:asciiTheme="minorHAnsi" w:hAnsiTheme="minorHAnsi" w:cstheme="minorHAnsi"/>
          <w:bCs/>
          <w:i/>
          <w:color w:val="C00000"/>
        </w:rPr>
      </w:pPr>
    </w:p>
    <w:p w:rsidR="00760CF8" w:rsidRPr="00D05DCD" w:rsidRDefault="00760CF8" w:rsidP="00760CF8">
      <w:pPr>
        <w:pStyle w:val="Akapitzlist"/>
        <w:numPr>
          <w:ilvl w:val="0"/>
          <w:numId w:val="1"/>
        </w:numPr>
        <w:tabs>
          <w:tab w:val="left" w:pos="851"/>
        </w:tabs>
        <w:spacing w:after="200" w:line="276" w:lineRule="auto"/>
        <w:ind w:left="850" w:hanging="425"/>
        <w:contextualSpacing w:val="0"/>
        <w:jc w:val="both"/>
        <w:rPr>
          <w:rFonts w:asciiTheme="minorHAnsi" w:hAnsiTheme="minorHAnsi" w:cstheme="minorHAnsi"/>
          <w:b/>
          <w:szCs w:val="22"/>
        </w:rPr>
      </w:pPr>
      <w:r w:rsidRPr="00D05DCD">
        <w:rPr>
          <w:rFonts w:asciiTheme="minorHAnsi" w:hAnsiTheme="minorHAnsi" w:cstheme="minorHAnsi"/>
          <w:b/>
          <w:szCs w:val="22"/>
        </w:rPr>
        <w:t>Współczynnik Dyspozycyjności</w:t>
      </w:r>
    </w:p>
    <w:p w:rsidR="00760CF8" w:rsidRPr="000D0A1B" w:rsidRDefault="00760CF8" w:rsidP="00760CF8">
      <w:pPr>
        <w:rPr>
          <w:rFonts w:ascii="Calibri" w:hAnsi="Calibri" w:cs="Calibri"/>
          <w:szCs w:val="22"/>
        </w:rPr>
      </w:pPr>
      <w:r w:rsidRPr="00D05DCD">
        <w:rPr>
          <w:rFonts w:ascii="Calibri" w:hAnsi="Calibri" w:cs="Calibri"/>
          <w:szCs w:val="22"/>
        </w:rPr>
        <w:t>Współczynnik dyspozycyjności (WD), który deklaruje</w:t>
      </w:r>
      <w:r w:rsidRPr="000D0A1B">
        <w:rPr>
          <w:rFonts w:ascii="Calibri" w:hAnsi="Calibri" w:cs="Calibri"/>
          <w:szCs w:val="22"/>
        </w:rPr>
        <w:t xml:space="preserve"> i gwarantuje Wykonawca, jest rozumiany jako iloraz czasu dyspozycyjności </w:t>
      </w:r>
      <w:r>
        <w:rPr>
          <w:rFonts w:ascii="Calibri" w:hAnsi="Calibri" w:cs="Calibri"/>
          <w:szCs w:val="22"/>
        </w:rPr>
        <w:t>Agregatu</w:t>
      </w:r>
      <w:r w:rsidRPr="000D0A1B">
        <w:rPr>
          <w:rFonts w:ascii="Calibri" w:hAnsi="Calibri" w:cs="Calibri"/>
          <w:szCs w:val="22"/>
        </w:rPr>
        <w:t xml:space="preserve"> do czasu dwunastomiesięcznego okresu</w:t>
      </w:r>
      <w:r>
        <w:rPr>
          <w:rFonts w:ascii="Calibri" w:hAnsi="Calibri" w:cs="Calibri"/>
          <w:szCs w:val="22"/>
        </w:rPr>
        <w:t xml:space="preserve"> (Roku Rozliczeniowego)</w:t>
      </w:r>
      <w:r w:rsidRPr="000D0A1B">
        <w:rPr>
          <w:rFonts w:ascii="Calibri" w:hAnsi="Calibri" w:cs="Calibri"/>
          <w:szCs w:val="22"/>
        </w:rPr>
        <w:t>, dla którego wskaźnik jest sprawdzany.</w:t>
      </w:r>
    </w:p>
    <w:p w:rsidR="00760CF8" w:rsidRDefault="00760CF8" w:rsidP="00760CF8">
      <w:pPr>
        <w:rPr>
          <w:rFonts w:ascii="Calibri" w:hAnsi="Calibri" w:cs="Calibri"/>
          <w:szCs w:val="22"/>
        </w:rPr>
      </w:pPr>
    </w:p>
    <w:p w:rsidR="00760CF8" w:rsidRPr="00222360" w:rsidRDefault="00760CF8" w:rsidP="00760CF8">
      <w:pPr>
        <w:rPr>
          <w:rFonts w:eastAsiaTheme="minorEastAsia"/>
          <w:sz w:val="20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32"/>
            </w:rPr>
            <m:t>WD=</m:t>
          </m:r>
          <m:f>
            <m:fPr>
              <m:ctrlPr>
                <w:rPr>
                  <w:rFonts w:ascii="Cambria Math" w:hAnsi="Cambria Math"/>
                  <w:i/>
                  <w:sz w:val="32"/>
                </w:rPr>
              </m:ctrlPr>
            </m:fPr>
            <m:num>
              <m:r>
                <w:rPr>
                  <w:rFonts w:ascii="Cambria Math" w:hAnsi="Cambria Math"/>
                  <w:sz w:val="32"/>
                </w:rPr>
                <m:t>GO-GPP-GNP</m:t>
              </m:r>
            </m:num>
            <m:den>
              <m:r>
                <w:rPr>
                  <w:rFonts w:ascii="Cambria Math" w:hAnsi="Cambria Math"/>
                  <w:sz w:val="32"/>
                </w:rPr>
                <m:t>GO</m:t>
              </m:r>
            </m:den>
          </m:f>
        </m:oMath>
      </m:oMathPara>
    </w:p>
    <w:p w:rsidR="00760CF8" w:rsidRPr="001164AD" w:rsidRDefault="00760CF8" w:rsidP="00760CF8">
      <w:pPr>
        <w:pStyle w:val="Akapitzlist"/>
        <w:rPr>
          <w:rFonts w:asciiTheme="minorHAnsi" w:eastAsiaTheme="minorEastAsia" w:hAnsiTheme="minorHAnsi" w:cstheme="minorHAnsi"/>
          <w:sz w:val="22"/>
        </w:rPr>
      </w:pPr>
      <w:r w:rsidRPr="001164AD">
        <w:rPr>
          <w:rFonts w:asciiTheme="minorHAnsi" w:eastAsiaTheme="minorEastAsia" w:hAnsiTheme="minorHAnsi" w:cstheme="minorHAnsi"/>
          <w:sz w:val="22"/>
        </w:rPr>
        <w:t>gdzie:</w:t>
      </w:r>
    </w:p>
    <w:p w:rsidR="00760CF8" w:rsidRPr="001164AD" w:rsidRDefault="00760CF8" w:rsidP="00760CF8">
      <w:pPr>
        <w:pStyle w:val="Akapitzlist"/>
        <w:rPr>
          <w:rFonts w:asciiTheme="minorHAnsi" w:eastAsiaTheme="minorEastAsia" w:hAnsiTheme="minorHAnsi" w:cstheme="minorHAnsi"/>
          <w:sz w:val="22"/>
        </w:rPr>
      </w:pPr>
      <m:oMath>
        <m:r>
          <w:rPr>
            <w:rFonts w:ascii="Cambria Math" w:hAnsi="Cambria Math" w:cstheme="minorHAnsi"/>
            <w:sz w:val="22"/>
          </w:rPr>
          <m:t>GO</m:t>
        </m:r>
      </m:oMath>
      <w:r w:rsidRPr="001164AD">
        <w:rPr>
          <w:rFonts w:asciiTheme="minorHAnsi" w:eastAsiaTheme="minorEastAsia" w:hAnsiTheme="minorHAnsi" w:cstheme="minorHAnsi"/>
          <w:sz w:val="22"/>
        </w:rPr>
        <w:t xml:space="preserve"> [h] – godziny okresu równoznaczne z dwunastomiesięcznym okresem sprawdzania wskaźnika dyspozycyjności (8760 godzin dla roku zwykłego, 8784 godzin dla roku przestępnego), </w:t>
      </w:r>
    </w:p>
    <w:p w:rsidR="00760CF8" w:rsidRPr="001164AD" w:rsidRDefault="00760CF8" w:rsidP="00760CF8">
      <w:pPr>
        <w:pStyle w:val="Akapitzlist"/>
        <w:rPr>
          <w:rFonts w:asciiTheme="minorHAnsi" w:eastAsiaTheme="minorEastAsia" w:hAnsiTheme="minorHAnsi" w:cstheme="minorHAnsi"/>
          <w:sz w:val="22"/>
        </w:rPr>
      </w:pPr>
      <m:oMath>
        <m:r>
          <w:rPr>
            <w:rFonts w:ascii="Cambria Math" w:hAnsi="Cambria Math" w:cstheme="minorHAnsi"/>
            <w:sz w:val="22"/>
          </w:rPr>
          <m:t>GPP</m:t>
        </m:r>
      </m:oMath>
      <w:r w:rsidRPr="001164AD">
        <w:rPr>
          <w:rFonts w:asciiTheme="minorHAnsi" w:eastAsiaTheme="minorEastAsia" w:hAnsiTheme="minorHAnsi" w:cstheme="minorHAnsi"/>
          <w:sz w:val="22"/>
        </w:rPr>
        <w:t xml:space="preserve"> [h] – godziny planowego postoju,</w:t>
      </w:r>
    </w:p>
    <w:p w:rsidR="00760CF8" w:rsidRDefault="00760CF8" w:rsidP="00760CF8">
      <w:pPr>
        <w:pStyle w:val="Akapitzlist"/>
        <w:rPr>
          <w:rFonts w:asciiTheme="minorHAnsi" w:eastAsiaTheme="minorEastAsia" w:hAnsiTheme="minorHAnsi" w:cstheme="minorHAnsi"/>
          <w:sz w:val="22"/>
        </w:rPr>
      </w:pPr>
      <m:oMath>
        <m:r>
          <w:rPr>
            <w:rFonts w:ascii="Cambria Math" w:hAnsi="Cambria Math" w:cstheme="minorHAnsi"/>
            <w:sz w:val="22"/>
          </w:rPr>
          <m:t>GNP</m:t>
        </m:r>
      </m:oMath>
      <w:r w:rsidRPr="001164AD">
        <w:rPr>
          <w:rFonts w:asciiTheme="minorHAnsi" w:eastAsiaTheme="minorEastAsia" w:hAnsiTheme="minorHAnsi" w:cstheme="minorHAnsi"/>
          <w:sz w:val="22"/>
        </w:rPr>
        <w:t xml:space="preserve"> [h]</w:t>
      </w:r>
      <w:r>
        <w:rPr>
          <w:rFonts w:asciiTheme="minorHAnsi" w:eastAsiaTheme="minorEastAsia" w:hAnsiTheme="minorHAnsi" w:cstheme="minorHAnsi"/>
          <w:sz w:val="22"/>
        </w:rPr>
        <w:t xml:space="preserve"> – godziny nieplanowego postoju.</w:t>
      </w:r>
    </w:p>
    <w:p w:rsidR="00760CF8" w:rsidRPr="00991AF8" w:rsidRDefault="00760CF8" w:rsidP="00760CF8">
      <w:pPr>
        <w:rPr>
          <w:rFonts w:ascii="Calibri" w:hAnsi="Calibri" w:cs="Calibri"/>
          <w:szCs w:val="22"/>
        </w:rPr>
      </w:pPr>
    </w:p>
    <w:p w:rsidR="00760CF8" w:rsidRPr="001164AD" w:rsidRDefault="00760CF8" w:rsidP="00760CF8">
      <w:pPr>
        <w:rPr>
          <w:rFonts w:ascii="Calibri" w:hAnsi="Calibri" w:cs="Calibri"/>
          <w:szCs w:val="22"/>
        </w:rPr>
      </w:pPr>
      <w:r w:rsidRPr="001164AD">
        <w:rPr>
          <w:rFonts w:ascii="Calibri" w:hAnsi="Calibri" w:cs="Calibri"/>
          <w:szCs w:val="22"/>
        </w:rPr>
        <w:t>Przy czym:       </w:t>
      </w:r>
    </w:p>
    <w:p w:rsidR="00760CF8" w:rsidRDefault="00760CF8" w:rsidP="00760CF8">
      <w:pPr>
        <w:rPr>
          <w:rFonts w:ascii="Calibri" w:hAnsi="Calibri" w:cs="Calibri"/>
          <w:szCs w:val="22"/>
        </w:rPr>
      </w:pPr>
      <w:r w:rsidRPr="001164AD">
        <w:rPr>
          <w:rFonts w:ascii="Calibri" w:hAnsi="Calibri" w:cs="Calibri"/>
          <w:szCs w:val="22"/>
          <w:u w:val="single"/>
        </w:rPr>
        <w:t>Godziny planowego postoju</w:t>
      </w:r>
      <w:r w:rsidRPr="001164AD">
        <w:rPr>
          <w:rFonts w:ascii="Calibri" w:hAnsi="Calibri" w:cs="Calibri"/>
          <w:szCs w:val="22"/>
        </w:rPr>
        <w:t xml:space="preserve"> – czas trwania planowych postojów będzie równy liczbie godzin, w trakcie których </w:t>
      </w:r>
      <w:r>
        <w:rPr>
          <w:rFonts w:ascii="Calibri" w:hAnsi="Calibri" w:cs="Calibri"/>
          <w:szCs w:val="22"/>
        </w:rPr>
        <w:t>A</w:t>
      </w:r>
      <w:r w:rsidRPr="001164AD">
        <w:rPr>
          <w:rFonts w:ascii="Calibri" w:hAnsi="Calibri" w:cs="Calibri"/>
          <w:szCs w:val="22"/>
        </w:rPr>
        <w:t xml:space="preserve">gregat </w:t>
      </w:r>
      <w:r>
        <w:rPr>
          <w:rFonts w:ascii="Calibri" w:hAnsi="Calibri" w:cs="Calibri"/>
          <w:szCs w:val="22"/>
        </w:rPr>
        <w:t>K</w:t>
      </w:r>
      <w:r w:rsidRPr="001164AD">
        <w:rPr>
          <w:rFonts w:ascii="Calibri" w:hAnsi="Calibri" w:cs="Calibri"/>
          <w:szCs w:val="22"/>
        </w:rPr>
        <w:t xml:space="preserve">ogeneracyjny nie wytwarza energii elektrycznej. Okres planowego postoju będzie liczony od momentu odłączenia </w:t>
      </w:r>
      <w:r>
        <w:rPr>
          <w:rFonts w:ascii="Calibri" w:hAnsi="Calibri" w:cs="Calibri"/>
          <w:szCs w:val="22"/>
        </w:rPr>
        <w:t>A</w:t>
      </w:r>
      <w:r w:rsidRPr="001164AD">
        <w:rPr>
          <w:rFonts w:ascii="Calibri" w:hAnsi="Calibri" w:cs="Calibri"/>
          <w:szCs w:val="22"/>
        </w:rPr>
        <w:t xml:space="preserve">gregatu </w:t>
      </w:r>
      <w:r>
        <w:rPr>
          <w:rFonts w:ascii="Calibri" w:hAnsi="Calibri" w:cs="Calibri"/>
          <w:szCs w:val="22"/>
        </w:rPr>
        <w:t>K</w:t>
      </w:r>
      <w:r w:rsidRPr="001164AD">
        <w:rPr>
          <w:rFonts w:ascii="Calibri" w:hAnsi="Calibri" w:cs="Calibri"/>
          <w:szCs w:val="22"/>
        </w:rPr>
        <w:t xml:space="preserve">ogeneracyjnego od zewnętrznej sieci elektroenergetycznej do momentu </w:t>
      </w:r>
      <w:r>
        <w:rPr>
          <w:rFonts w:ascii="Calibri" w:hAnsi="Calibri" w:cs="Calibri"/>
          <w:szCs w:val="22"/>
        </w:rPr>
        <w:t xml:space="preserve">zgłoszenia przez Wykonawcę prawidłowego i skutecznego zakończenia </w:t>
      </w:r>
      <w:r w:rsidRPr="001164AD">
        <w:rPr>
          <w:rFonts w:ascii="Calibri" w:hAnsi="Calibri" w:cs="Calibri"/>
          <w:szCs w:val="22"/>
        </w:rPr>
        <w:t xml:space="preserve">wykonanych przez Wykonawcę </w:t>
      </w:r>
      <w:r>
        <w:rPr>
          <w:rFonts w:ascii="Calibri" w:hAnsi="Calibri" w:cs="Calibri"/>
          <w:szCs w:val="22"/>
        </w:rPr>
        <w:t>Prac Planowych</w:t>
      </w:r>
      <w:r w:rsidRPr="001164AD">
        <w:rPr>
          <w:rFonts w:ascii="Calibri" w:hAnsi="Calibri" w:cs="Calibri"/>
          <w:szCs w:val="22"/>
        </w:rPr>
        <w:t>.</w:t>
      </w:r>
    </w:p>
    <w:p w:rsidR="00760CF8" w:rsidRPr="001164AD" w:rsidRDefault="00760CF8" w:rsidP="00760CF8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W</w:t>
      </w:r>
      <w:r w:rsidRPr="005F5AFF">
        <w:rPr>
          <w:rFonts w:ascii="Calibri" w:hAnsi="Calibri" w:cs="Calibri"/>
          <w:szCs w:val="22"/>
        </w:rPr>
        <w:t xml:space="preserve"> przypadku, gdy Prace Planowe były poprzedzon</w:t>
      </w:r>
      <w:r>
        <w:rPr>
          <w:rFonts w:ascii="Calibri" w:hAnsi="Calibri" w:cs="Calibri"/>
          <w:szCs w:val="22"/>
        </w:rPr>
        <w:t>e</w:t>
      </w:r>
      <w:r w:rsidRPr="005F5AFF">
        <w:rPr>
          <w:rFonts w:ascii="Calibri" w:hAnsi="Calibri" w:cs="Calibri"/>
          <w:szCs w:val="22"/>
        </w:rPr>
        <w:t xml:space="preserve"> okresem postoju w rezerwie</w:t>
      </w:r>
      <w:r>
        <w:rPr>
          <w:rFonts w:ascii="Calibri" w:hAnsi="Calibri" w:cs="Calibri"/>
          <w:szCs w:val="22"/>
        </w:rPr>
        <w:t>, czas trwania postoju planowego będzie liczony</w:t>
      </w:r>
      <w:r w:rsidRPr="005F5AFF">
        <w:rPr>
          <w:rFonts w:ascii="Calibri" w:hAnsi="Calibri" w:cs="Calibri"/>
          <w:szCs w:val="22"/>
        </w:rPr>
        <w:t xml:space="preserve"> od momentu dopuszczenia</w:t>
      </w:r>
      <w:r>
        <w:rPr>
          <w:rFonts w:ascii="Calibri" w:hAnsi="Calibri" w:cs="Calibri"/>
          <w:szCs w:val="22"/>
        </w:rPr>
        <w:t xml:space="preserve"> Wykonawcy</w:t>
      </w:r>
      <w:r w:rsidRPr="005F5AFF">
        <w:rPr>
          <w:rFonts w:ascii="Calibri" w:hAnsi="Calibri" w:cs="Calibri"/>
          <w:szCs w:val="22"/>
        </w:rPr>
        <w:t xml:space="preserve"> do </w:t>
      </w:r>
      <w:r>
        <w:rPr>
          <w:rFonts w:ascii="Calibri" w:hAnsi="Calibri" w:cs="Calibri"/>
          <w:szCs w:val="22"/>
        </w:rPr>
        <w:t>wykonywania czynności serwisowych przez Zamawiającego.</w:t>
      </w:r>
    </w:p>
    <w:p w:rsidR="00760CF8" w:rsidRDefault="00760CF8" w:rsidP="00760CF8">
      <w:pPr>
        <w:rPr>
          <w:rFonts w:ascii="Calibri" w:hAnsi="Calibri" w:cs="Calibri"/>
          <w:szCs w:val="22"/>
        </w:rPr>
      </w:pPr>
      <w:r w:rsidRPr="001164AD">
        <w:rPr>
          <w:rFonts w:ascii="Calibri" w:hAnsi="Calibri" w:cs="Calibri"/>
          <w:szCs w:val="22"/>
          <w:u w:val="single"/>
        </w:rPr>
        <w:t>Godziny nieplanowego postoju</w:t>
      </w:r>
      <w:r w:rsidRPr="001164AD">
        <w:rPr>
          <w:rFonts w:ascii="Calibri" w:hAnsi="Calibri" w:cs="Calibri"/>
          <w:szCs w:val="22"/>
        </w:rPr>
        <w:t xml:space="preserve"> – czas trwania nieplanowych postojów będzie równy liczbie godzin, w trakcie których </w:t>
      </w:r>
      <w:r>
        <w:rPr>
          <w:rFonts w:ascii="Calibri" w:hAnsi="Calibri" w:cs="Calibri"/>
          <w:szCs w:val="22"/>
        </w:rPr>
        <w:t>A</w:t>
      </w:r>
      <w:r w:rsidRPr="001164AD">
        <w:rPr>
          <w:rFonts w:ascii="Calibri" w:hAnsi="Calibri" w:cs="Calibri"/>
          <w:szCs w:val="22"/>
        </w:rPr>
        <w:t xml:space="preserve">gregat </w:t>
      </w:r>
      <w:r>
        <w:rPr>
          <w:rFonts w:ascii="Calibri" w:hAnsi="Calibri" w:cs="Calibri"/>
          <w:szCs w:val="22"/>
        </w:rPr>
        <w:t>K</w:t>
      </w:r>
      <w:r w:rsidRPr="001164AD">
        <w:rPr>
          <w:rFonts w:ascii="Calibri" w:hAnsi="Calibri" w:cs="Calibri"/>
          <w:szCs w:val="22"/>
        </w:rPr>
        <w:t>ogeneracyjny nie może wytwarzać energii elektrycznej</w:t>
      </w:r>
      <w:r>
        <w:rPr>
          <w:rFonts w:ascii="Calibri" w:hAnsi="Calibri" w:cs="Calibri"/>
          <w:szCs w:val="22"/>
        </w:rPr>
        <w:t xml:space="preserve"> z pełnym obciążeniem</w:t>
      </w:r>
      <w:r w:rsidRPr="001164AD">
        <w:rPr>
          <w:rFonts w:ascii="Calibri" w:hAnsi="Calibri" w:cs="Calibri"/>
          <w:szCs w:val="22"/>
        </w:rPr>
        <w:t>. Okres nieplanowego postoju będzie liczony od momentu utraty zdolności do generowania energii elektrycznej</w:t>
      </w:r>
      <w:r>
        <w:rPr>
          <w:rFonts w:ascii="Calibri" w:hAnsi="Calibri" w:cs="Calibri"/>
          <w:szCs w:val="22"/>
        </w:rPr>
        <w:t xml:space="preserve"> z pełnym obciążeniem</w:t>
      </w:r>
      <w:r w:rsidRPr="001164AD">
        <w:rPr>
          <w:rFonts w:ascii="Calibri" w:hAnsi="Calibri" w:cs="Calibri"/>
          <w:szCs w:val="22"/>
        </w:rPr>
        <w:t xml:space="preserve"> przez </w:t>
      </w:r>
      <w:r>
        <w:rPr>
          <w:rFonts w:ascii="Calibri" w:hAnsi="Calibri" w:cs="Calibri"/>
          <w:szCs w:val="22"/>
        </w:rPr>
        <w:t>A</w:t>
      </w:r>
      <w:r w:rsidRPr="001164AD">
        <w:rPr>
          <w:rFonts w:ascii="Calibri" w:hAnsi="Calibri" w:cs="Calibri"/>
          <w:szCs w:val="22"/>
        </w:rPr>
        <w:t xml:space="preserve">gregat </w:t>
      </w:r>
      <w:r>
        <w:rPr>
          <w:rFonts w:ascii="Calibri" w:hAnsi="Calibri" w:cs="Calibri"/>
          <w:szCs w:val="22"/>
        </w:rPr>
        <w:t>K</w:t>
      </w:r>
      <w:r w:rsidRPr="001164AD">
        <w:rPr>
          <w:rFonts w:ascii="Calibri" w:hAnsi="Calibri" w:cs="Calibri"/>
          <w:szCs w:val="22"/>
        </w:rPr>
        <w:t xml:space="preserve">ogeneracyjny do momentu </w:t>
      </w:r>
      <w:r>
        <w:rPr>
          <w:rFonts w:ascii="Calibri" w:hAnsi="Calibri" w:cs="Calibri"/>
          <w:szCs w:val="22"/>
        </w:rPr>
        <w:t>zgłoszenia przez Wykonawcę prawidłowego i skutecznego zakończenia</w:t>
      </w:r>
      <w:r w:rsidRPr="001164AD">
        <w:rPr>
          <w:rFonts w:ascii="Calibri" w:hAnsi="Calibri" w:cs="Calibri"/>
          <w:szCs w:val="22"/>
        </w:rPr>
        <w:t xml:space="preserve"> wykonanych przez Wykonawcę </w:t>
      </w:r>
      <w:r>
        <w:rPr>
          <w:rFonts w:ascii="Calibri" w:hAnsi="Calibri" w:cs="Calibri"/>
          <w:szCs w:val="22"/>
        </w:rPr>
        <w:t>P</w:t>
      </w:r>
      <w:r w:rsidRPr="001164AD">
        <w:rPr>
          <w:rFonts w:ascii="Calibri" w:hAnsi="Calibri" w:cs="Calibri"/>
          <w:szCs w:val="22"/>
        </w:rPr>
        <w:t xml:space="preserve">rac </w:t>
      </w:r>
      <w:r>
        <w:rPr>
          <w:rFonts w:ascii="Calibri" w:hAnsi="Calibri" w:cs="Calibri"/>
          <w:szCs w:val="22"/>
        </w:rPr>
        <w:t>Nieplanowych</w:t>
      </w:r>
      <w:r w:rsidRPr="001164AD">
        <w:rPr>
          <w:rFonts w:ascii="Calibri" w:hAnsi="Calibri" w:cs="Calibri"/>
          <w:szCs w:val="22"/>
        </w:rPr>
        <w:t>.</w:t>
      </w:r>
    </w:p>
    <w:p w:rsidR="00760CF8" w:rsidRDefault="00760CF8" w:rsidP="00760CF8">
      <w:pPr>
        <w:rPr>
          <w:rFonts w:ascii="Calibri" w:hAnsi="Calibri" w:cs="Calibri"/>
          <w:szCs w:val="22"/>
        </w:rPr>
      </w:pPr>
    </w:p>
    <w:p w:rsidR="00760CF8" w:rsidRPr="002B2260" w:rsidRDefault="00760CF8" w:rsidP="00760CF8">
      <w:pPr>
        <w:rPr>
          <w:rFonts w:ascii="Calibri" w:hAnsi="Calibri" w:cs="Calibri"/>
          <w:szCs w:val="22"/>
        </w:rPr>
      </w:pPr>
      <w:r w:rsidRPr="002B2260">
        <w:rPr>
          <w:rFonts w:ascii="Calibri" w:hAnsi="Calibri" w:cs="Calibri"/>
          <w:szCs w:val="22"/>
        </w:rPr>
        <w:lastRenderedPageBreak/>
        <w:t>Przy obliczaniu współczynnika dyspozycyjności nie będą uwzględniane godziny pozostawania w rezerwie, w przypadku braku możliwości wytwarzania energii elektrycznej lub ciepła wynikające z przyczyn zewnętrznych (awaria / remont sieci zewnętrznych).</w:t>
      </w:r>
    </w:p>
    <w:p w:rsidR="00760CF8" w:rsidRPr="001164AD" w:rsidRDefault="00760CF8" w:rsidP="00760CF8">
      <w:pPr>
        <w:rPr>
          <w:rFonts w:ascii="Calibri" w:hAnsi="Calibri" w:cs="Calibri"/>
          <w:szCs w:val="22"/>
        </w:rPr>
      </w:pPr>
    </w:p>
    <w:p w:rsidR="00760CF8" w:rsidRDefault="00760CF8" w:rsidP="00760CF8">
      <w:pPr>
        <w:jc w:val="both"/>
        <w:rPr>
          <w:rFonts w:ascii="Calibri" w:hAnsi="Calibri" w:cs="Calibri"/>
          <w:szCs w:val="22"/>
        </w:rPr>
      </w:pPr>
      <w:r w:rsidRPr="001164AD">
        <w:rPr>
          <w:rFonts w:ascii="Calibri" w:hAnsi="Calibri" w:cs="Calibri"/>
          <w:szCs w:val="22"/>
        </w:rPr>
        <w:t xml:space="preserve">Wykonawca w ofercie zadeklaruje </w:t>
      </w:r>
      <w:r>
        <w:rPr>
          <w:rFonts w:ascii="Calibri" w:hAnsi="Calibri" w:cs="Calibri"/>
          <w:szCs w:val="22"/>
        </w:rPr>
        <w:t>współczynnik</w:t>
      </w:r>
      <w:r w:rsidRPr="001164AD">
        <w:rPr>
          <w:rFonts w:ascii="Calibri" w:hAnsi="Calibri" w:cs="Calibri"/>
          <w:szCs w:val="22"/>
        </w:rPr>
        <w:t xml:space="preserve"> dyspozycyjności </w:t>
      </w:r>
      <w:r>
        <w:rPr>
          <w:rFonts w:ascii="Calibri" w:hAnsi="Calibri" w:cs="Calibri"/>
          <w:szCs w:val="22"/>
        </w:rPr>
        <w:t>dla A</w:t>
      </w:r>
      <w:r w:rsidRPr="001164AD">
        <w:rPr>
          <w:rFonts w:ascii="Calibri" w:hAnsi="Calibri" w:cs="Calibri"/>
          <w:szCs w:val="22"/>
        </w:rPr>
        <w:t>gregat</w:t>
      </w:r>
      <w:r>
        <w:rPr>
          <w:rFonts w:ascii="Calibri" w:hAnsi="Calibri" w:cs="Calibri"/>
          <w:szCs w:val="22"/>
        </w:rPr>
        <w:t>u dla każdego Roku Rozliczeniowego świadczenia Serwisu</w:t>
      </w:r>
      <w:r w:rsidRPr="001164AD">
        <w:rPr>
          <w:rFonts w:ascii="Calibri" w:hAnsi="Calibri" w:cs="Calibri"/>
          <w:szCs w:val="22"/>
        </w:rPr>
        <w:t xml:space="preserve">, przy czym Zamawiający wymaga, aby </w:t>
      </w:r>
      <w:r>
        <w:rPr>
          <w:rFonts w:ascii="Calibri" w:hAnsi="Calibri" w:cs="Calibri"/>
          <w:szCs w:val="22"/>
        </w:rPr>
        <w:t xml:space="preserve">deklaracja była umieszczona w tabeli o wzorze jak niżej. Ponadto, wskazane wartości przez Wykonawcę nie mogą być niższe niż określono w </w:t>
      </w:r>
      <w:r>
        <w:rPr>
          <w:rFonts w:ascii="Calibri" w:hAnsi="Calibri" w:cs="Calibri"/>
          <w:szCs w:val="22"/>
        </w:rPr>
        <w:fldChar w:fldCharType="begin"/>
      </w:r>
      <w:r>
        <w:rPr>
          <w:rFonts w:ascii="Calibri" w:hAnsi="Calibri" w:cs="Calibri"/>
          <w:szCs w:val="22"/>
        </w:rPr>
        <w:instrText xml:space="preserve"> REF _Ref68523052 \r \h </w:instrText>
      </w:r>
      <w:r>
        <w:rPr>
          <w:rFonts w:ascii="Calibri" w:hAnsi="Calibri" w:cs="Calibri"/>
          <w:szCs w:val="22"/>
        </w:rPr>
      </w:r>
      <w:r>
        <w:rPr>
          <w:rFonts w:ascii="Calibri" w:hAnsi="Calibri" w:cs="Calibri"/>
          <w:szCs w:val="22"/>
        </w:rPr>
        <w:fldChar w:fldCharType="separate"/>
      </w:r>
      <w:r>
        <w:rPr>
          <w:rFonts w:ascii="Calibri" w:hAnsi="Calibri" w:cs="Calibri"/>
          <w:szCs w:val="22"/>
        </w:rPr>
        <w:t>§ 9</w:t>
      </w:r>
      <w:r>
        <w:rPr>
          <w:rFonts w:ascii="Calibri" w:hAnsi="Calibri" w:cs="Calibri"/>
          <w:szCs w:val="22"/>
        </w:rPr>
        <w:fldChar w:fldCharType="end"/>
      </w:r>
      <w:r>
        <w:rPr>
          <w:rFonts w:ascii="Calibri" w:hAnsi="Calibri" w:cs="Calibri"/>
          <w:szCs w:val="22"/>
        </w:rPr>
        <w:t xml:space="preserve"> ust </w:t>
      </w:r>
      <w:r>
        <w:rPr>
          <w:rFonts w:ascii="Calibri" w:hAnsi="Calibri" w:cs="Calibri"/>
          <w:szCs w:val="22"/>
        </w:rPr>
        <w:fldChar w:fldCharType="begin"/>
      </w:r>
      <w:r>
        <w:rPr>
          <w:rFonts w:ascii="Calibri" w:hAnsi="Calibri" w:cs="Calibri"/>
          <w:szCs w:val="22"/>
        </w:rPr>
        <w:instrText xml:space="preserve"> REF _Ref54184283 \n \h  \* MERGEFORMAT </w:instrText>
      </w:r>
      <w:r>
        <w:rPr>
          <w:rFonts w:ascii="Calibri" w:hAnsi="Calibri" w:cs="Calibri"/>
          <w:szCs w:val="22"/>
        </w:rPr>
      </w:r>
      <w:r>
        <w:rPr>
          <w:rFonts w:ascii="Calibri" w:hAnsi="Calibri" w:cs="Calibri"/>
          <w:szCs w:val="22"/>
        </w:rPr>
        <w:fldChar w:fldCharType="separate"/>
      </w:r>
      <w:r>
        <w:rPr>
          <w:rFonts w:ascii="Calibri" w:hAnsi="Calibri" w:cs="Calibri"/>
          <w:szCs w:val="22"/>
        </w:rPr>
        <w:t>12</w:t>
      </w:r>
      <w:r>
        <w:rPr>
          <w:rFonts w:ascii="Calibri" w:hAnsi="Calibri" w:cs="Calibri"/>
          <w:szCs w:val="22"/>
        </w:rPr>
        <w:fldChar w:fldCharType="end"/>
      </w:r>
      <w:r>
        <w:rPr>
          <w:rFonts w:ascii="Calibri" w:hAnsi="Calibri" w:cs="Calibri"/>
          <w:szCs w:val="22"/>
        </w:rPr>
        <w:t xml:space="preserve"> Umowy Serwisowej.</w:t>
      </w:r>
    </w:p>
    <w:p w:rsidR="00760CF8" w:rsidRDefault="00760CF8" w:rsidP="00760CF8">
      <w:pPr>
        <w:rPr>
          <w:rFonts w:ascii="Calibri" w:hAnsi="Calibri" w:cs="Calibri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041"/>
        <w:gridCol w:w="2241"/>
        <w:gridCol w:w="2312"/>
        <w:gridCol w:w="2468"/>
      </w:tblGrid>
      <w:tr w:rsidR="00760CF8" w:rsidTr="00A373EE">
        <w:trPr>
          <w:jc w:val="center"/>
        </w:trPr>
        <w:tc>
          <w:tcPr>
            <w:tcW w:w="2213" w:type="dxa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Rok rozliczeniowy</w:t>
            </w:r>
          </w:p>
        </w:tc>
        <w:tc>
          <w:tcPr>
            <w:tcW w:w="2580" w:type="dxa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Rodzaj Pracy Planowej*</w:t>
            </w:r>
          </w:p>
        </w:tc>
        <w:tc>
          <w:tcPr>
            <w:tcW w:w="2581" w:type="dxa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Suma godzin postoju wynikająca z Prac Planowych** (GPP)</w:t>
            </w:r>
          </w:p>
        </w:tc>
        <w:tc>
          <w:tcPr>
            <w:tcW w:w="2581" w:type="dxa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Gwarantowany współczynnik dyspozycyjności*** (WD)</w:t>
            </w:r>
          </w:p>
        </w:tc>
      </w:tr>
      <w:tr w:rsidR="00760CF8" w:rsidTr="00A373EE">
        <w:trPr>
          <w:jc w:val="center"/>
        </w:trPr>
        <w:tc>
          <w:tcPr>
            <w:tcW w:w="2213" w:type="dxa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</w:t>
            </w:r>
          </w:p>
        </w:tc>
        <w:tc>
          <w:tcPr>
            <w:tcW w:w="2580" w:type="dxa"/>
            <w:shd w:val="clear" w:color="auto" w:fill="FFFFFF" w:themeFill="background1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81" w:type="dxa"/>
            <w:shd w:val="clear" w:color="auto" w:fill="FFFFFF" w:themeFill="background1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60CF8" w:rsidTr="00A373EE">
        <w:trPr>
          <w:jc w:val="center"/>
        </w:trPr>
        <w:tc>
          <w:tcPr>
            <w:tcW w:w="2213" w:type="dxa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2580" w:type="dxa"/>
            <w:shd w:val="clear" w:color="auto" w:fill="FFFFFF" w:themeFill="background1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81" w:type="dxa"/>
            <w:shd w:val="clear" w:color="auto" w:fill="FFFFFF" w:themeFill="background1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60CF8" w:rsidTr="00A373EE">
        <w:trPr>
          <w:jc w:val="center"/>
        </w:trPr>
        <w:tc>
          <w:tcPr>
            <w:tcW w:w="2213" w:type="dxa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</w:t>
            </w:r>
          </w:p>
        </w:tc>
        <w:tc>
          <w:tcPr>
            <w:tcW w:w="2580" w:type="dxa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81" w:type="dxa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81" w:type="dxa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60CF8" w:rsidTr="00A373EE">
        <w:trPr>
          <w:jc w:val="center"/>
        </w:trPr>
        <w:tc>
          <w:tcPr>
            <w:tcW w:w="2213" w:type="dxa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4</w:t>
            </w:r>
          </w:p>
        </w:tc>
        <w:tc>
          <w:tcPr>
            <w:tcW w:w="2580" w:type="dxa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81" w:type="dxa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81" w:type="dxa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60CF8" w:rsidTr="00A373EE">
        <w:trPr>
          <w:jc w:val="center"/>
        </w:trPr>
        <w:tc>
          <w:tcPr>
            <w:tcW w:w="2213" w:type="dxa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5</w:t>
            </w:r>
          </w:p>
        </w:tc>
        <w:tc>
          <w:tcPr>
            <w:tcW w:w="2580" w:type="dxa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81" w:type="dxa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81" w:type="dxa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60CF8" w:rsidTr="00A373EE">
        <w:trPr>
          <w:jc w:val="center"/>
        </w:trPr>
        <w:tc>
          <w:tcPr>
            <w:tcW w:w="2213" w:type="dxa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6</w:t>
            </w:r>
          </w:p>
        </w:tc>
        <w:tc>
          <w:tcPr>
            <w:tcW w:w="2580" w:type="dxa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81" w:type="dxa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81" w:type="dxa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60CF8" w:rsidTr="00A373EE">
        <w:trPr>
          <w:jc w:val="center"/>
        </w:trPr>
        <w:tc>
          <w:tcPr>
            <w:tcW w:w="2213" w:type="dxa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7</w:t>
            </w:r>
          </w:p>
        </w:tc>
        <w:tc>
          <w:tcPr>
            <w:tcW w:w="2580" w:type="dxa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81" w:type="dxa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81" w:type="dxa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60CF8" w:rsidTr="00A373EE">
        <w:trPr>
          <w:jc w:val="center"/>
        </w:trPr>
        <w:tc>
          <w:tcPr>
            <w:tcW w:w="2213" w:type="dxa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8</w:t>
            </w:r>
          </w:p>
        </w:tc>
        <w:tc>
          <w:tcPr>
            <w:tcW w:w="2580" w:type="dxa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81" w:type="dxa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81" w:type="dxa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60CF8" w:rsidTr="00A373EE">
        <w:trPr>
          <w:jc w:val="center"/>
        </w:trPr>
        <w:tc>
          <w:tcPr>
            <w:tcW w:w="2213" w:type="dxa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9</w:t>
            </w:r>
          </w:p>
        </w:tc>
        <w:tc>
          <w:tcPr>
            <w:tcW w:w="2580" w:type="dxa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81" w:type="dxa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81" w:type="dxa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60CF8" w:rsidTr="00A373EE">
        <w:trPr>
          <w:jc w:val="center"/>
        </w:trPr>
        <w:tc>
          <w:tcPr>
            <w:tcW w:w="2213" w:type="dxa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10</w:t>
            </w:r>
          </w:p>
        </w:tc>
        <w:tc>
          <w:tcPr>
            <w:tcW w:w="2580" w:type="dxa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81" w:type="dxa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81" w:type="dxa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60CF8" w:rsidTr="00A373EE">
        <w:trPr>
          <w:jc w:val="center"/>
        </w:trPr>
        <w:tc>
          <w:tcPr>
            <w:tcW w:w="2213" w:type="dxa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11</w:t>
            </w:r>
          </w:p>
        </w:tc>
        <w:tc>
          <w:tcPr>
            <w:tcW w:w="2580" w:type="dxa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81" w:type="dxa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81" w:type="dxa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60CF8" w:rsidTr="00A373EE">
        <w:trPr>
          <w:jc w:val="center"/>
        </w:trPr>
        <w:tc>
          <w:tcPr>
            <w:tcW w:w="2213" w:type="dxa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12</w:t>
            </w:r>
          </w:p>
        </w:tc>
        <w:tc>
          <w:tcPr>
            <w:tcW w:w="2580" w:type="dxa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81" w:type="dxa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81" w:type="dxa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</w:tbl>
    <w:p w:rsidR="00760CF8" w:rsidRDefault="00760CF8" w:rsidP="00760CF8">
      <w:pPr>
        <w:jc w:val="center"/>
        <w:rPr>
          <w:rFonts w:ascii="Calibri" w:hAnsi="Calibri" w:cs="Calibri"/>
          <w:szCs w:val="22"/>
        </w:rPr>
      </w:pPr>
    </w:p>
    <w:p w:rsidR="00760CF8" w:rsidRDefault="00760CF8" w:rsidP="00760CF8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*) Rodzaj Prac Planowych w danym Roku Rozliczeniowym zgodnie z informacją zawartą w </w:t>
      </w:r>
      <w:r>
        <w:rPr>
          <w:rFonts w:ascii="Calibri" w:hAnsi="Calibri" w:cs="Calibri"/>
          <w:szCs w:val="22"/>
        </w:rPr>
        <w:fldChar w:fldCharType="begin"/>
      </w:r>
      <w:r>
        <w:rPr>
          <w:rFonts w:ascii="Calibri" w:hAnsi="Calibri" w:cs="Calibri"/>
          <w:szCs w:val="22"/>
        </w:rPr>
        <w:instrText xml:space="preserve"> REF _Ref53489995 \r \h </w:instrText>
      </w:r>
      <w:r>
        <w:rPr>
          <w:rFonts w:ascii="Calibri" w:hAnsi="Calibri" w:cs="Calibri"/>
          <w:szCs w:val="22"/>
        </w:rPr>
      </w:r>
      <w:r>
        <w:rPr>
          <w:rFonts w:ascii="Calibri" w:hAnsi="Calibri" w:cs="Calibri"/>
          <w:szCs w:val="22"/>
        </w:rPr>
        <w:fldChar w:fldCharType="separate"/>
      </w:r>
      <w:r>
        <w:rPr>
          <w:rFonts w:ascii="Calibri" w:hAnsi="Calibri" w:cs="Calibri"/>
          <w:szCs w:val="22"/>
        </w:rPr>
        <w:t>Załącznik nr 7</w:t>
      </w:r>
      <w:r>
        <w:rPr>
          <w:rFonts w:ascii="Calibri" w:hAnsi="Calibri" w:cs="Calibri"/>
          <w:szCs w:val="22"/>
        </w:rPr>
        <w:fldChar w:fldCharType="end"/>
      </w:r>
      <w:r>
        <w:rPr>
          <w:rFonts w:ascii="Calibri" w:hAnsi="Calibri" w:cs="Calibri"/>
          <w:szCs w:val="22"/>
        </w:rPr>
        <w:t>.</w:t>
      </w:r>
    </w:p>
    <w:p w:rsidR="00760CF8" w:rsidRDefault="00760CF8" w:rsidP="00760CF8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**) Wartość dla każdego Roku Rozliczeniowego wynikająca z harmonogramu Prac Planowych określonych w </w:t>
      </w:r>
      <w:r>
        <w:rPr>
          <w:rFonts w:ascii="Calibri" w:hAnsi="Calibri" w:cs="Calibri"/>
          <w:szCs w:val="22"/>
        </w:rPr>
        <w:fldChar w:fldCharType="begin"/>
      </w:r>
      <w:r>
        <w:rPr>
          <w:rFonts w:ascii="Calibri" w:hAnsi="Calibri" w:cs="Calibri"/>
          <w:szCs w:val="22"/>
        </w:rPr>
        <w:instrText xml:space="preserve"> REF _Ref53489899 \n \h </w:instrText>
      </w:r>
      <w:r>
        <w:rPr>
          <w:rFonts w:ascii="Calibri" w:hAnsi="Calibri" w:cs="Calibri"/>
          <w:szCs w:val="22"/>
        </w:rPr>
      </w:r>
      <w:r>
        <w:rPr>
          <w:rFonts w:ascii="Calibri" w:hAnsi="Calibri" w:cs="Calibri"/>
          <w:szCs w:val="22"/>
        </w:rPr>
        <w:fldChar w:fldCharType="separate"/>
      </w:r>
      <w:r>
        <w:rPr>
          <w:rFonts w:ascii="Calibri" w:hAnsi="Calibri" w:cs="Calibri"/>
          <w:szCs w:val="22"/>
        </w:rPr>
        <w:t>Załącznik nr 3</w:t>
      </w:r>
      <w:r>
        <w:rPr>
          <w:rFonts w:ascii="Calibri" w:hAnsi="Calibri" w:cs="Calibri"/>
          <w:szCs w:val="22"/>
        </w:rPr>
        <w:fldChar w:fldCharType="end"/>
      </w:r>
      <w:r>
        <w:rPr>
          <w:rFonts w:ascii="Calibri" w:hAnsi="Calibri" w:cs="Calibri"/>
          <w:szCs w:val="22"/>
        </w:rPr>
        <w:t xml:space="preserve"> – suma wartości w polach żółtych.</w:t>
      </w:r>
    </w:p>
    <w:p w:rsidR="00760CF8" w:rsidRPr="00FB4902" w:rsidRDefault="00760CF8" w:rsidP="00760CF8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***) Zgodnie z formułą określającą sposób wyliczenia współczynnika dyspozycyjności, przy czym w pierwszym i drugim Roku Rozliczeniowym obowiązuje gwarancja współczynnika dyspozycyjności Obiektu zgodnie z umową EPC.</w:t>
      </w:r>
    </w:p>
    <w:p w:rsidR="00760CF8" w:rsidRPr="00FE1D57" w:rsidRDefault="00760CF8" w:rsidP="00760CF8">
      <w:pPr>
        <w:tabs>
          <w:tab w:val="left" w:pos="567"/>
        </w:tabs>
        <w:spacing w:before="120"/>
        <w:rPr>
          <w:rFonts w:cs="Arial"/>
          <w:iCs/>
          <w:sz w:val="22"/>
          <w:szCs w:val="22"/>
        </w:rPr>
      </w:pPr>
    </w:p>
    <w:p w:rsidR="00760CF8" w:rsidRPr="00DF1F95" w:rsidRDefault="00760CF8" w:rsidP="00760CF8">
      <w:pPr>
        <w:pStyle w:val="Akapitzlist"/>
        <w:numPr>
          <w:ilvl w:val="0"/>
          <w:numId w:val="1"/>
        </w:numPr>
        <w:tabs>
          <w:tab w:val="left" w:pos="851"/>
        </w:tabs>
        <w:spacing w:after="200" w:line="276" w:lineRule="auto"/>
        <w:ind w:left="850" w:hanging="425"/>
        <w:contextualSpacing w:val="0"/>
        <w:jc w:val="both"/>
        <w:rPr>
          <w:rFonts w:asciiTheme="minorHAnsi" w:hAnsiTheme="minorHAnsi" w:cstheme="minorHAnsi"/>
          <w:b/>
          <w:szCs w:val="22"/>
        </w:rPr>
      </w:pPr>
      <w:bookmarkStart w:id="3" w:name="_Ref351535247"/>
      <w:r w:rsidRPr="00DF1F95">
        <w:rPr>
          <w:rFonts w:asciiTheme="minorHAnsi" w:hAnsiTheme="minorHAnsi" w:cstheme="minorHAnsi"/>
          <w:b/>
          <w:szCs w:val="22"/>
        </w:rPr>
        <w:t xml:space="preserve">Obniżenie </w:t>
      </w:r>
      <w:r>
        <w:rPr>
          <w:rFonts w:asciiTheme="minorHAnsi" w:hAnsiTheme="minorHAnsi" w:cstheme="minorHAnsi"/>
          <w:b/>
          <w:szCs w:val="22"/>
        </w:rPr>
        <w:t>sprawności elektrycznej</w:t>
      </w:r>
      <w:r w:rsidRPr="00DF1F95">
        <w:rPr>
          <w:rFonts w:asciiTheme="minorHAnsi" w:hAnsiTheme="minorHAnsi" w:cstheme="minorHAnsi"/>
          <w:b/>
          <w:szCs w:val="22"/>
        </w:rPr>
        <w:t xml:space="preserve"> </w:t>
      </w:r>
      <w:r>
        <w:rPr>
          <w:rFonts w:asciiTheme="minorHAnsi" w:hAnsiTheme="minorHAnsi" w:cstheme="minorHAnsi"/>
          <w:b/>
          <w:szCs w:val="22"/>
        </w:rPr>
        <w:t>b</w:t>
      </w:r>
      <w:r w:rsidRPr="00DF1F95">
        <w:rPr>
          <w:rFonts w:asciiTheme="minorHAnsi" w:hAnsiTheme="minorHAnsi" w:cstheme="minorHAnsi"/>
          <w:b/>
          <w:szCs w:val="22"/>
        </w:rPr>
        <w:t>rutto</w:t>
      </w:r>
      <w:bookmarkEnd w:id="3"/>
      <w:r w:rsidRPr="00DF1F95">
        <w:rPr>
          <w:rFonts w:asciiTheme="minorHAnsi" w:hAnsiTheme="minorHAnsi" w:cstheme="minorHAnsi"/>
          <w:b/>
          <w:szCs w:val="22"/>
        </w:rPr>
        <w:t xml:space="preserve"> </w:t>
      </w:r>
      <w:r>
        <w:rPr>
          <w:rFonts w:asciiTheme="minorHAnsi" w:hAnsiTheme="minorHAnsi" w:cstheme="minorHAnsi"/>
          <w:b/>
          <w:szCs w:val="22"/>
        </w:rPr>
        <w:t>Agregatu</w:t>
      </w:r>
    </w:p>
    <w:p w:rsidR="00760CF8" w:rsidRDefault="00760CF8" w:rsidP="00760CF8">
      <w:pPr>
        <w:rPr>
          <w:rFonts w:ascii="Calibri" w:hAnsi="Calibri" w:cs="Calibri"/>
          <w:szCs w:val="22"/>
        </w:rPr>
      </w:pPr>
      <w:bookmarkStart w:id="4" w:name="_Toc352328721"/>
      <w:r w:rsidRPr="00C66EAF">
        <w:rPr>
          <w:rFonts w:ascii="Calibri" w:hAnsi="Calibri" w:cs="Calibri"/>
          <w:szCs w:val="22"/>
        </w:rPr>
        <w:t xml:space="preserve">Gwarantowane </w:t>
      </w:r>
      <w:r>
        <w:rPr>
          <w:rFonts w:ascii="Calibri" w:hAnsi="Calibri" w:cs="Calibri"/>
          <w:szCs w:val="22"/>
        </w:rPr>
        <w:t>o</w:t>
      </w:r>
      <w:r w:rsidRPr="00C66EAF">
        <w:rPr>
          <w:rFonts w:ascii="Calibri" w:hAnsi="Calibri" w:cs="Calibri"/>
          <w:szCs w:val="22"/>
        </w:rPr>
        <w:t xml:space="preserve">bniżenie </w:t>
      </w:r>
      <w:r>
        <w:rPr>
          <w:rFonts w:ascii="Calibri" w:hAnsi="Calibri" w:cs="Calibri"/>
          <w:szCs w:val="22"/>
        </w:rPr>
        <w:t>sprawności elektrycznej</w:t>
      </w:r>
      <w:r w:rsidRPr="00C66EAF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b</w:t>
      </w:r>
      <w:r w:rsidRPr="00C66EAF">
        <w:rPr>
          <w:rFonts w:ascii="Calibri" w:hAnsi="Calibri" w:cs="Calibri"/>
          <w:szCs w:val="22"/>
        </w:rPr>
        <w:t xml:space="preserve">rutto </w:t>
      </w:r>
      <w:r>
        <w:rPr>
          <w:rFonts w:ascii="Calibri" w:hAnsi="Calibri" w:cs="Calibri"/>
          <w:szCs w:val="22"/>
        </w:rPr>
        <w:t>Agregatu</w:t>
      </w:r>
      <w:r w:rsidRPr="00C66EAF">
        <w:rPr>
          <w:rFonts w:ascii="Calibri" w:hAnsi="Calibri" w:cs="Calibri"/>
          <w:szCs w:val="22"/>
        </w:rPr>
        <w:t xml:space="preserve"> określa dopuszczalny spadek </w:t>
      </w:r>
      <w:r>
        <w:rPr>
          <w:rFonts w:ascii="Calibri" w:hAnsi="Calibri" w:cs="Calibri"/>
          <w:szCs w:val="22"/>
        </w:rPr>
        <w:t>sprawności elektrycznej</w:t>
      </w:r>
      <w:r w:rsidRPr="00C66EAF">
        <w:rPr>
          <w:rFonts w:ascii="Calibri" w:hAnsi="Calibri" w:cs="Calibri"/>
          <w:szCs w:val="22"/>
        </w:rPr>
        <w:t xml:space="preserve"> brutto w stosunku do wartości początkowej </w:t>
      </w:r>
      <w:r w:rsidRPr="00D05DCD">
        <w:rPr>
          <w:rFonts w:ascii="Calibri" w:hAnsi="Calibri" w:cs="Calibri"/>
          <w:szCs w:val="22"/>
        </w:rPr>
        <w:t xml:space="preserve">zmierzonej i uznanej za wiążącą </w:t>
      </w:r>
      <w:r w:rsidRPr="00E31165">
        <w:rPr>
          <w:rFonts w:ascii="Calibri" w:hAnsi="Calibri" w:cs="Calibri"/>
          <w:szCs w:val="22"/>
        </w:rPr>
        <w:t xml:space="preserve">w trakcie </w:t>
      </w:r>
      <w:r>
        <w:rPr>
          <w:rFonts w:ascii="Calibri" w:hAnsi="Calibri" w:cs="Calibri"/>
          <w:szCs w:val="22"/>
        </w:rPr>
        <w:t>pomiarów gwarancyjnych w ramach Umowy EPC.</w:t>
      </w:r>
    </w:p>
    <w:p w:rsidR="00760CF8" w:rsidRDefault="00760CF8" w:rsidP="00760CF8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W celu wyznaczenia obniżenia sprawności elektrycznej brutto Agregatu, w pierwszej kolejności niezbędne jest zdefiniowanie samej sprawności elektrycznej brutto Agregatu.</w:t>
      </w:r>
    </w:p>
    <w:p w:rsidR="00760CF8" w:rsidRDefault="00760CF8" w:rsidP="00760CF8">
      <w:pPr>
        <w:rPr>
          <w:rFonts w:ascii="Calibri" w:hAnsi="Calibri" w:cs="Calibri"/>
          <w:szCs w:val="22"/>
        </w:rPr>
      </w:pPr>
    </w:p>
    <w:p w:rsidR="00760CF8" w:rsidRPr="00A35073" w:rsidRDefault="00760CF8" w:rsidP="00760CF8">
      <w:pPr>
        <w:rPr>
          <w:rFonts w:eastAsiaTheme="minorEastAsia"/>
          <w:sz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</w:rPr>
                <m:t>η</m:t>
              </m:r>
            </m:e>
            <m:sub>
              <m:r>
                <w:rPr>
                  <w:rFonts w:ascii="Cambria Math" w:hAnsi="Cambria Math"/>
                  <w:sz w:val="32"/>
                </w:rPr>
                <m:t>el</m:t>
              </m:r>
            </m:sub>
          </m:sSub>
          <m:r>
            <w:rPr>
              <w:rFonts w:ascii="Cambria Math" w:hAnsi="Cambria Math"/>
              <w:sz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32"/>
                    </w:rPr>
                    <m:t>el</m:t>
                  </m:r>
                </m:sub>
              </m:sSub>
            </m:num>
            <m:den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</w:rPr>
                    <m:t>V</m:t>
                  </m:r>
                </m:e>
              </m:acc>
              <m:r>
                <w:rPr>
                  <w:rFonts w:ascii="Cambria Math" w:hAnsi="Cambria Math"/>
                  <w:sz w:val="32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32"/>
                    </w:rPr>
                    <m:t>d</m:t>
                  </m:r>
                </m:sub>
              </m:sSub>
            </m:den>
          </m:f>
        </m:oMath>
      </m:oMathPara>
    </w:p>
    <w:p w:rsidR="00760CF8" w:rsidRPr="00A56D18" w:rsidRDefault="00760CF8" w:rsidP="00760CF8">
      <w:pPr>
        <w:pStyle w:val="Akapitzlist"/>
        <w:rPr>
          <w:rFonts w:asciiTheme="minorHAnsi" w:hAnsiTheme="minorHAnsi" w:cstheme="minorHAnsi"/>
          <w:sz w:val="22"/>
        </w:rPr>
      </w:pPr>
      <w:r w:rsidRPr="00A56D18">
        <w:rPr>
          <w:rFonts w:asciiTheme="minorHAnsi" w:hAnsiTheme="minorHAnsi" w:cstheme="minorHAnsi"/>
          <w:sz w:val="22"/>
        </w:rPr>
        <w:t>gdzie:</w:t>
      </w:r>
    </w:p>
    <w:p w:rsidR="00760CF8" w:rsidRPr="00A56D18" w:rsidRDefault="00760CF8" w:rsidP="00760CF8">
      <w:pPr>
        <w:pStyle w:val="Akapitzlist"/>
        <w:rPr>
          <w:rFonts w:asciiTheme="minorHAnsi" w:eastAsiaTheme="minorEastAsia" w:hAnsiTheme="minorHAnsi" w:cstheme="minorHAnsi"/>
          <w:sz w:val="22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</w:rPr>
              <m:t>N</m:t>
            </m:r>
          </m:e>
          <m:sub>
            <m:r>
              <w:rPr>
                <w:rFonts w:ascii="Cambria Math" w:hAnsi="Cambria Math" w:cstheme="minorHAnsi"/>
                <w:sz w:val="22"/>
              </w:rPr>
              <m:t>el</m:t>
            </m:r>
          </m:sub>
        </m:sSub>
      </m:oMath>
      <w:r w:rsidRPr="00A56D18">
        <w:rPr>
          <w:rFonts w:asciiTheme="minorHAnsi" w:eastAsiaTheme="minorEastAsia" w:hAnsiTheme="minorHAnsi" w:cstheme="minorHAnsi"/>
          <w:sz w:val="22"/>
        </w:rPr>
        <w:t xml:space="preserve"> [MW] – moc elektryczna brutto,</w:t>
      </w:r>
    </w:p>
    <w:p w:rsidR="00760CF8" w:rsidRPr="00A56D18" w:rsidRDefault="00760CF8" w:rsidP="00760CF8">
      <w:pPr>
        <w:pStyle w:val="Akapitzlist"/>
        <w:rPr>
          <w:rFonts w:asciiTheme="minorHAnsi" w:eastAsiaTheme="minorEastAsia" w:hAnsiTheme="minorHAnsi" w:cstheme="minorHAnsi"/>
          <w:sz w:val="22"/>
        </w:rPr>
      </w:pPr>
      <m:oMath>
        <m:acc>
          <m:accPr>
            <m:chr m:val="̇"/>
            <m:ctrlPr>
              <w:rPr>
                <w:rFonts w:ascii="Cambria Math" w:hAnsi="Cambria Math" w:cstheme="minorHAnsi"/>
                <w:i/>
                <w:sz w:val="22"/>
              </w:rPr>
            </m:ctrlPr>
          </m:accPr>
          <m:e>
            <m:r>
              <w:rPr>
                <w:rFonts w:ascii="Cambria Math" w:hAnsi="Cambria Math" w:cstheme="minorHAnsi"/>
                <w:sz w:val="22"/>
              </w:rPr>
              <m:t>V</m:t>
            </m:r>
          </m:e>
        </m:acc>
      </m:oMath>
      <w:r w:rsidRPr="00A56D18">
        <w:rPr>
          <w:rFonts w:asciiTheme="minorHAnsi" w:eastAsiaTheme="minorEastAsia" w:hAnsiTheme="minorHAnsi" w:cstheme="minorHAnsi"/>
          <w:sz w:val="22"/>
        </w:rPr>
        <w:t xml:space="preserve"> [m</w:t>
      </w:r>
      <w:r w:rsidRPr="00A56D18">
        <w:rPr>
          <w:rFonts w:asciiTheme="minorHAnsi" w:eastAsiaTheme="minorEastAsia" w:hAnsiTheme="minorHAnsi" w:cstheme="minorHAnsi"/>
          <w:sz w:val="22"/>
          <w:vertAlign w:val="superscript"/>
        </w:rPr>
        <w:t>3</w:t>
      </w:r>
      <w:r w:rsidRPr="00A56D18">
        <w:rPr>
          <w:rFonts w:asciiTheme="minorHAnsi" w:eastAsiaTheme="minorEastAsia" w:hAnsiTheme="minorHAnsi" w:cstheme="minorHAnsi"/>
          <w:sz w:val="22"/>
        </w:rPr>
        <w:t>/s]  – strumień objętościowy spalanego paliwa,</w:t>
      </w:r>
    </w:p>
    <w:p w:rsidR="00760CF8" w:rsidRPr="00A56D18" w:rsidRDefault="00760CF8" w:rsidP="00760CF8">
      <w:pPr>
        <w:pStyle w:val="Akapitzlist"/>
        <w:spacing w:after="240"/>
        <w:contextualSpacing w:val="0"/>
        <w:rPr>
          <w:rFonts w:asciiTheme="minorHAnsi" w:eastAsiaTheme="minorEastAsia" w:hAnsiTheme="minorHAnsi" w:cstheme="minorHAnsi"/>
          <w:sz w:val="22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</w:rPr>
              <m:t>W</m:t>
            </m:r>
          </m:e>
          <m:sub>
            <m:r>
              <w:rPr>
                <w:rFonts w:ascii="Cambria Math" w:hAnsi="Cambria Math" w:cstheme="minorHAnsi"/>
                <w:sz w:val="22"/>
              </w:rPr>
              <m:t>d</m:t>
            </m:r>
          </m:sub>
        </m:sSub>
      </m:oMath>
      <w:r w:rsidRPr="00A56D18">
        <w:rPr>
          <w:rFonts w:asciiTheme="minorHAnsi" w:eastAsiaTheme="minorEastAsia" w:hAnsiTheme="minorHAnsi" w:cstheme="minorHAnsi"/>
          <w:sz w:val="22"/>
        </w:rPr>
        <w:t xml:space="preserve">  [MJ/m</w:t>
      </w:r>
      <w:r w:rsidRPr="00A56D18">
        <w:rPr>
          <w:rFonts w:asciiTheme="minorHAnsi" w:eastAsiaTheme="minorEastAsia" w:hAnsiTheme="minorHAnsi" w:cstheme="minorHAnsi"/>
          <w:sz w:val="22"/>
          <w:vertAlign w:val="superscript"/>
        </w:rPr>
        <w:t>3</w:t>
      </w:r>
      <w:r w:rsidRPr="00A56D18">
        <w:rPr>
          <w:rFonts w:asciiTheme="minorHAnsi" w:eastAsiaTheme="minorEastAsia" w:hAnsiTheme="minorHAnsi" w:cstheme="minorHAnsi"/>
          <w:sz w:val="22"/>
        </w:rPr>
        <w:t>] – wartość opałowa spalanego paliwa.</w:t>
      </w:r>
    </w:p>
    <w:p w:rsidR="00760CF8" w:rsidRDefault="00760CF8" w:rsidP="00760CF8">
      <w:pPr>
        <w:rPr>
          <w:rFonts w:ascii="Calibri" w:hAnsi="Calibri" w:cs="Calibri"/>
          <w:szCs w:val="22"/>
        </w:rPr>
      </w:pPr>
      <w:r w:rsidRPr="008F4CB3">
        <w:rPr>
          <w:rFonts w:ascii="Calibri" w:hAnsi="Calibri" w:cs="Calibri"/>
          <w:szCs w:val="22"/>
        </w:rPr>
        <w:t>Warunki</w:t>
      </w:r>
      <w:r>
        <w:rPr>
          <w:rFonts w:ascii="Calibri" w:hAnsi="Calibri" w:cs="Calibri"/>
          <w:szCs w:val="22"/>
        </w:rPr>
        <w:t xml:space="preserve"> referencyjne, to warunki, dla których Wykonawca określa wartości parametrów gwarantowanych. Poniższa tabela definiuje warunki referencyjne.</w:t>
      </w:r>
    </w:p>
    <w:tbl>
      <w:tblPr>
        <w:tblStyle w:val="Tabela-Siatka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1"/>
        <w:gridCol w:w="1691"/>
        <w:gridCol w:w="2460"/>
      </w:tblGrid>
      <w:tr w:rsidR="00760CF8" w:rsidRPr="008C18CF" w:rsidTr="00A373EE">
        <w:trPr>
          <w:trHeight w:val="397"/>
        </w:trPr>
        <w:tc>
          <w:tcPr>
            <w:tcW w:w="2712" w:type="pct"/>
            <w:tcBorders>
              <w:bottom w:val="single" w:sz="4" w:space="0" w:color="auto"/>
            </w:tcBorders>
            <w:vAlign w:val="center"/>
          </w:tcPr>
          <w:p w:rsidR="00760CF8" w:rsidRPr="008C18CF" w:rsidRDefault="00760CF8" w:rsidP="00A373EE">
            <w:pPr>
              <w:spacing w:line="360" w:lineRule="auto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8C18CF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Parametr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760CF8" w:rsidRPr="008C18CF" w:rsidRDefault="00760CF8" w:rsidP="00A373E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8C18CF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Jednostka</w:t>
            </w:r>
          </w:p>
        </w:tc>
        <w:tc>
          <w:tcPr>
            <w:tcW w:w="1356" w:type="pct"/>
            <w:tcBorders>
              <w:bottom w:val="single" w:sz="4" w:space="0" w:color="auto"/>
            </w:tcBorders>
            <w:vAlign w:val="center"/>
          </w:tcPr>
          <w:p w:rsidR="00760CF8" w:rsidRPr="008C18CF" w:rsidRDefault="00760CF8" w:rsidP="00A373E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8C18CF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Wartość</w:t>
            </w:r>
          </w:p>
        </w:tc>
      </w:tr>
      <w:tr w:rsidR="00760CF8" w:rsidRPr="008C18CF" w:rsidTr="00A373EE">
        <w:trPr>
          <w:trHeight w:val="340"/>
        </w:trPr>
        <w:tc>
          <w:tcPr>
            <w:tcW w:w="2712" w:type="pct"/>
            <w:tcBorders>
              <w:top w:val="nil"/>
              <w:bottom w:val="nil"/>
            </w:tcBorders>
            <w:vAlign w:val="center"/>
          </w:tcPr>
          <w:p w:rsidR="00760CF8" w:rsidRPr="008C18CF" w:rsidRDefault="00760CF8" w:rsidP="00A373EE">
            <w:pPr>
              <w:spacing w:before="120" w:line="36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C18C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Temperatura powietrza</w:t>
            </w:r>
          </w:p>
        </w:tc>
        <w:tc>
          <w:tcPr>
            <w:tcW w:w="932" w:type="pct"/>
            <w:tcBorders>
              <w:top w:val="nil"/>
              <w:bottom w:val="nil"/>
            </w:tcBorders>
            <w:vAlign w:val="center"/>
          </w:tcPr>
          <w:p w:rsidR="00760CF8" w:rsidRPr="008C18CF" w:rsidRDefault="00760CF8" w:rsidP="00A373EE">
            <w:pPr>
              <w:spacing w:before="120" w:line="36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C18C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˚C</w:t>
            </w:r>
          </w:p>
        </w:tc>
        <w:tc>
          <w:tcPr>
            <w:tcW w:w="1356" w:type="pct"/>
            <w:tcBorders>
              <w:top w:val="nil"/>
              <w:bottom w:val="nil"/>
            </w:tcBorders>
            <w:vAlign w:val="center"/>
          </w:tcPr>
          <w:p w:rsidR="00760CF8" w:rsidRPr="008C18CF" w:rsidRDefault="00760CF8" w:rsidP="00A373EE">
            <w:pPr>
              <w:spacing w:before="120" w:line="36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C18C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15,0</w:t>
            </w:r>
          </w:p>
        </w:tc>
      </w:tr>
      <w:tr w:rsidR="00760CF8" w:rsidRPr="008C18CF" w:rsidTr="00A373EE">
        <w:trPr>
          <w:trHeight w:val="340"/>
        </w:trPr>
        <w:tc>
          <w:tcPr>
            <w:tcW w:w="2712" w:type="pct"/>
            <w:tcBorders>
              <w:top w:val="nil"/>
              <w:bottom w:val="nil"/>
            </w:tcBorders>
            <w:vAlign w:val="center"/>
          </w:tcPr>
          <w:p w:rsidR="00760CF8" w:rsidRPr="008C18CF" w:rsidRDefault="00760CF8" w:rsidP="00A373EE">
            <w:pPr>
              <w:spacing w:line="36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C18C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Wilgotność względna</w:t>
            </w:r>
          </w:p>
        </w:tc>
        <w:tc>
          <w:tcPr>
            <w:tcW w:w="932" w:type="pct"/>
            <w:tcBorders>
              <w:top w:val="nil"/>
              <w:bottom w:val="nil"/>
            </w:tcBorders>
            <w:vAlign w:val="center"/>
          </w:tcPr>
          <w:p w:rsidR="00760CF8" w:rsidRPr="008C18CF" w:rsidRDefault="00760CF8" w:rsidP="00A373EE">
            <w:pPr>
              <w:spacing w:line="36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C18C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%</w:t>
            </w:r>
          </w:p>
        </w:tc>
        <w:tc>
          <w:tcPr>
            <w:tcW w:w="1356" w:type="pct"/>
            <w:tcBorders>
              <w:top w:val="nil"/>
              <w:bottom w:val="nil"/>
            </w:tcBorders>
            <w:vAlign w:val="center"/>
          </w:tcPr>
          <w:p w:rsidR="00760CF8" w:rsidRPr="008C18CF" w:rsidRDefault="00760CF8" w:rsidP="00A373EE">
            <w:pPr>
              <w:spacing w:line="36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C18C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80,0</w:t>
            </w:r>
          </w:p>
        </w:tc>
      </w:tr>
      <w:tr w:rsidR="00760CF8" w:rsidRPr="008C18CF" w:rsidTr="00A373EE">
        <w:trPr>
          <w:trHeight w:val="340"/>
        </w:trPr>
        <w:tc>
          <w:tcPr>
            <w:tcW w:w="2712" w:type="pct"/>
            <w:tcBorders>
              <w:top w:val="nil"/>
              <w:bottom w:val="nil"/>
            </w:tcBorders>
            <w:vAlign w:val="center"/>
          </w:tcPr>
          <w:p w:rsidR="00760CF8" w:rsidRPr="008C18CF" w:rsidRDefault="00760CF8" w:rsidP="00A373EE">
            <w:pPr>
              <w:spacing w:line="36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C18C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Ciśnienie atmosferyczne</w:t>
            </w:r>
          </w:p>
        </w:tc>
        <w:tc>
          <w:tcPr>
            <w:tcW w:w="932" w:type="pct"/>
            <w:tcBorders>
              <w:top w:val="nil"/>
              <w:bottom w:val="nil"/>
            </w:tcBorders>
            <w:vAlign w:val="center"/>
          </w:tcPr>
          <w:p w:rsidR="00760CF8" w:rsidRPr="008C18CF" w:rsidRDefault="00760CF8" w:rsidP="00A373EE">
            <w:pPr>
              <w:spacing w:line="36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spellStart"/>
            <w:r w:rsidRPr="008C18C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hPa</w:t>
            </w:r>
            <w:proofErr w:type="spellEnd"/>
          </w:p>
        </w:tc>
        <w:tc>
          <w:tcPr>
            <w:tcW w:w="1356" w:type="pct"/>
            <w:tcBorders>
              <w:top w:val="nil"/>
              <w:bottom w:val="nil"/>
            </w:tcBorders>
            <w:vAlign w:val="center"/>
          </w:tcPr>
          <w:p w:rsidR="00760CF8" w:rsidRPr="008C18CF" w:rsidRDefault="00760CF8" w:rsidP="00A373EE">
            <w:pPr>
              <w:spacing w:line="36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C18C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990,0</w:t>
            </w:r>
          </w:p>
        </w:tc>
      </w:tr>
      <w:tr w:rsidR="00760CF8" w:rsidRPr="008C18CF" w:rsidTr="00A373EE">
        <w:trPr>
          <w:trHeight w:val="340"/>
        </w:trPr>
        <w:tc>
          <w:tcPr>
            <w:tcW w:w="2712" w:type="pct"/>
            <w:tcBorders>
              <w:top w:val="nil"/>
              <w:bottom w:val="nil"/>
            </w:tcBorders>
            <w:vAlign w:val="center"/>
          </w:tcPr>
          <w:p w:rsidR="00760CF8" w:rsidRPr="008C18CF" w:rsidRDefault="00760CF8" w:rsidP="00A373EE">
            <w:pPr>
              <w:spacing w:line="36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C18C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Temperatura wody ciepłowniczej na zasilaniu</w:t>
            </w:r>
          </w:p>
        </w:tc>
        <w:tc>
          <w:tcPr>
            <w:tcW w:w="932" w:type="pct"/>
            <w:tcBorders>
              <w:top w:val="nil"/>
              <w:bottom w:val="nil"/>
            </w:tcBorders>
            <w:vAlign w:val="center"/>
          </w:tcPr>
          <w:p w:rsidR="00760CF8" w:rsidRPr="008C18CF" w:rsidRDefault="00760CF8" w:rsidP="00A373EE">
            <w:pPr>
              <w:spacing w:line="36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C18C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°C</w:t>
            </w:r>
          </w:p>
        </w:tc>
        <w:tc>
          <w:tcPr>
            <w:tcW w:w="1356" w:type="pct"/>
            <w:tcBorders>
              <w:top w:val="nil"/>
              <w:bottom w:val="nil"/>
            </w:tcBorders>
            <w:vAlign w:val="center"/>
          </w:tcPr>
          <w:p w:rsidR="00760CF8" w:rsidRPr="008C18CF" w:rsidRDefault="00760CF8" w:rsidP="00A373EE">
            <w:pPr>
              <w:spacing w:line="36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C18C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70,0</w:t>
            </w:r>
          </w:p>
        </w:tc>
      </w:tr>
      <w:tr w:rsidR="00760CF8" w:rsidRPr="008C18CF" w:rsidTr="00A373EE">
        <w:trPr>
          <w:trHeight w:val="340"/>
        </w:trPr>
        <w:tc>
          <w:tcPr>
            <w:tcW w:w="2712" w:type="pct"/>
            <w:tcBorders>
              <w:top w:val="nil"/>
              <w:bottom w:val="nil"/>
            </w:tcBorders>
            <w:vAlign w:val="center"/>
          </w:tcPr>
          <w:p w:rsidR="00760CF8" w:rsidRPr="008C18CF" w:rsidRDefault="00760CF8" w:rsidP="00A373EE">
            <w:pPr>
              <w:spacing w:line="36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C18C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Temperatura wody ciepłowniczej na powrocie</w:t>
            </w:r>
          </w:p>
        </w:tc>
        <w:tc>
          <w:tcPr>
            <w:tcW w:w="932" w:type="pct"/>
            <w:tcBorders>
              <w:top w:val="nil"/>
              <w:bottom w:val="nil"/>
            </w:tcBorders>
            <w:vAlign w:val="center"/>
          </w:tcPr>
          <w:p w:rsidR="00760CF8" w:rsidRPr="008C18CF" w:rsidRDefault="00760CF8" w:rsidP="00A373EE">
            <w:pPr>
              <w:spacing w:line="36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C18C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°C</w:t>
            </w:r>
          </w:p>
        </w:tc>
        <w:tc>
          <w:tcPr>
            <w:tcW w:w="1356" w:type="pct"/>
            <w:tcBorders>
              <w:top w:val="nil"/>
              <w:bottom w:val="nil"/>
            </w:tcBorders>
            <w:vAlign w:val="center"/>
          </w:tcPr>
          <w:p w:rsidR="00760CF8" w:rsidRPr="008C18CF" w:rsidRDefault="00760CF8" w:rsidP="00A373EE">
            <w:pPr>
              <w:spacing w:line="36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C18C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50,0</w:t>
            </w:r>
          </w:p>
        </w:tc>
      </w:tr>
      <w:tr w:rsidR="00760CF8" w:rsidRPr="008C18CF" w:rsidTr="00A373EE">
        <w:trPr>
          <w:trHeight w:val="340"/>
        </w:trPr>
        <w:tc>
          <w:tcPr>
            <w:tcW w:w="2712" w:type="pct"/>
            <w:tcBorders>
              <w:top w:val="nil"/>
              <w:bottom w:val="nil"/>
            </w:tcBorders>
            <w:vAlign w:val="center"/>
          </w:tcPr>
          <w:p w:rsidR="00760CF8" w:rsidRPr="008C18CF" w:rsidRDefault="00760CF8" w:rsidP="00A373EE">
            <w:pPr>
              <w:spacing w:line="36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C18C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Wartość opałowa gazu ziemnego*</w:t>
            </w:r>
          </w:p>
        </w:tc>
        <w:tc>
          <w:tcPr>
            <w:tcW w:w="932" w:type="pct"/>
            <w:tcBorders>
              <w:top w:val="nil"/>
              <w:bottom w:val="nil"/>
            </w:tcBorders>
            <w:vAlign w:val="center"/>
          </w:tcPr>
          <w:p w:rsidR="00760CF8" w:rsidRPr="008C18CF" w:rsidRDefault="00760CF8" w:rsidP="00A373EE">
            <w:pPr>
              <w:spacing w:line="36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C18C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MJ/m</w:t>
            </w:r>
            <w:r w:rsidRPr="008C18CF">
              <w:rPr>
                <w:rFonts w:asciiTheme="minorHAnsi" w:hAnsiTheme="minorHAnsi" w:cstheme="minorHAnsi"/>
                <w:color w:val="FF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56" w:type="pct"/>
            <w:tcBorders>
              <w:top w:val="nil"/>
              <w:bottom w:val="nil"/>
            </w:tcBorders>
            <w:vAlign w:val="center"/>
          </w:tcPr>
          <w:p w:rsidR="00760CF8" w:rsidRPr="008C18CF" w:rsidRDefault="00760CF8" w:rsidP="00A373EE">
            <w:pPr>
              <w:spacing w:line="36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highlight w:val="yellow"/>
              </w:rPr>
            </w:pPr>
            <w:r w:rsidRPr="008C18C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&gt;36</w:t>
            </w:r>
          </w:p>
        </w:tc>
      </w:tr>
      <w:tr w:rsidR="00760CF8" w:rsidRPr="008C18CF" w:rsidTr="00A373EE">
        <w:trPr>
          <w:trHeight w:val="340"/>
        </w:trPr>
        <w:tc>
          <w:tcPr>
            <w:tcW w:w="2712" w:type="pct"/>
            <w:tcBorders>
              <w:top w:val="nil"/>
              <w:bottom w:val="nil"/>
            </w:tcBorders>
            <w:vAlign w:val="center"/>
          </w:tcPr>
          <w:p w:rsidR="00760CF8" w:rsidRPr="008C18CF" w:rsidRDefault="00760CF8" w:rsidP="00A373EE">
            <w:pPr>
              <w:spacing w:line="36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C18C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Liczba </w:t>
            </w:r>
            <w:proofErr w:type="spellStart"/>
            <w:r w:rsidRPr="008C18C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Wobbego</w:t>
            </w:r>
            <w:proofErr w:type="spellEnd"/>
            <w:r w:rsidRPr="008C18C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gazu ziemnego*</w:t>
            </w:r>
          </w:p>
        </w:tc>
        <w:tc>
          <w:tcPr>
            <w:tcW w:w="932" w:type="pct"/>
            <w:tcBorders>
              <w:top w:val="nil"/>
              <w:bottom w:val="nil"/>
            </w:tcBorders>
            <w:vAlign w:val="center"/>
          </w:tcPr>
          <w:p w:rsidR="00760CF8" w:rsidRPr="008C18CF" w:rsidRDefault="00760CF8" w:rsidP="00A373EE">
            <w:pPr>
              <w:spacing w:line="36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C18C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MJ/m</w:t>
            </w:r>
            <w:r w:rsidRPr="008C18CF">
              <w:rPr>
                <w:rFonts w:asciiTheme="minorHAnsi" w:hAnsiTheme="minorHAnsi" w:cstheme="minorHAnsi"/>
                <w:color w:val="FF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56" w:type="pct"/>
            <w:tcBorders>
              <w:top w:val="nil"/>
              <w:bottom w:val="nil"/>
            </w:tcBorders>
            <w:vAlign w:val="center"/>
          </w:tcPr>
          <w:p w:rsidR="00760CF8" w:rsidRPr="008C18CF" w:rsidRDefault="00760CF8" w:rsidP="00A373EE">
            <w:pPr>
              <w:spacing w:line="36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highlight w:val="yellow"/>
              </w:rPr>
            </w:pPr>
            <w:r w:rsidRPr="008C18C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53,2</w:t>
            </w:r>
          </w:p>
        </w:tc>
      </w:tr>
      <w:tr w:rsidR="00760CF8" w:rsidRPr="008C18CF" w:rsidTr="00A373EE">
        <w:trPr>
          <w:trHeight w:val="340"/>
        </w:trPr>
        <w:tc>
          <w:tcPr>
            <w:tcW w:w="2712" w:type="pct"/>
            <w:tcBorders>
              <w:top w:val="nil"/>
              <w:bottom w:val="nil"/>
            </w:tcBorders>
            <w:vAlign w:val="center"/>
          </w:tcPr>
          <w:p w:rsidR="00760CF8" w:rsidRPr="008C18CF" w:rsidRDefault="00760CF8" w:rsidP="00A373EE">
            <w:pPr>
              <w:spacing w:line="36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C18C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Zawartość metanu w gazie*</w:t>
            </w:r>
          </w:p>
        </w:tc>
        <w:tc>
          <w:tcPr>
            <w:tcW w:w="932" w:type="pct"/>
            <w:tcBorders>
              <w:top w:val="nil"/>
              <w:bottom w:val="nil"/>
            </w:tcBorders>
            <w:vAlign w:val="center"/>
          </w:tcPr>
          <w:p w:rsidR="00760CF8" w:rsidRPr="008C18CF" w:rsidRDefault="00760CF8" w:rsidP="00A373EE">
            <w:pPr>
              <w:spacing w:line="36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C18C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%</w:t>
            </w:r>
          </w:p>
        </w:tc>
        <w:tc>
          <w:tcPr>
            <w:tcW w:w="1356" w:type="pct"/>
            <w:tcBorders>
              <w:top w:val="nil"/>
              <w:bottom w:val="nil"/>
            </w:tcBorders>
            <w:vAlign w:val="center"/>
          </w:tcPr>
          <w:p w:rsidR="00760CF8" w:rsidRPr="008C18CF" w:rsidRDefault="00760CF8" w:rsidP="00A373EE">
            <w:pPr>
              <w:spacing w:line="36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highlight w:val="yellow"/>
              </w:rPr>
            </w:pPr>
            <w:r w:rsidRPr="008C18C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93,0</w:t>
            </w:r>
          </w:p>
        </w:tc>
      </w:tr>
      <w:tr w:rsidR="00760CF8" w:rsidRPr="008C18CF" w:rsidTr="00A373EE">
        <w:trPr>
          <w:trHeight w:val="340"/>
        </w:trPr>
        <w:tc>
          <w:tcPr>
            <w:tcW w:w="2712" w:type="pct"/>
            <w:tcBorders>
              <w:top w:val="nil"/>
              <w:bottom w:val="nil"/>
            </w:tcBorders>
            <w:vAlign w:val="center"/>
          </w:tcPr>
          <w:p w:rsidR="00760CF8" w:rsidRPr="008C18CF" w:rsidRDefault="00760CF8" w:rsidP="00A373EE">
            <w:pPr>
              <w:spacing w:line="36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C18C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Zawartość etanu w gazie*</w:t>
            </w:r>
          </w:p>
        </w:tc>
        <w:tc>
          <w:tcPr>
            <w:tcW w:w="932" w:type="pct"/>
            <w:tcBorders>
              <w:top w:val="nil"/>
              <w:bottom w:val="nil"/>
            </w:tcBorders>
            <w:vAlign w:val="center"/>
          </w:tcPr>
          <w:p w:rsidR="00760CF8" w:rsidRPr="008C18CF" w:rsidRDefault="00760CF8" w:rsidP="00A373EE">
            <w:pPr>
              <w:spacing w:line="36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C18C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%</w:t>
            </w:r>
          </w:p>
        </w:tc>
        <w:tc>
          <w:tcPr>
            <w:tcW w:w="1356" w:type="pct"/>
            <w:tcBorders>
              <w:top w:val="nil"/>
              <w:bottom w:val="nil"/>
            </w:tcBorders>
            <w:vAlign w:val="center"/>
          </w:tcPr>
          <w:p w:rsidR="00760CF8" w:rsidRPr="008C18CF" w:rsidRDefault="00760CF8" w:rsidP="00A373EE">
            <w:pPr>
              <w:spacing w:line="36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highlight w:val="yellow"/>
              </w:rPr>
            </w:pPr>
            <w:r w:rsidRPr="008C18C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4,2</w:t>
            </w:r>
          </w:p>
        </w:tc>
      </w:tr>
      <w:tr w:rsidR="00760CF8" w:rsidRPr="008C18CF" w:rsidTr="00A373EE">
        <w:trPr>
          <w:trHeight w:val="340"/>
        </w:trPr>
        <w:tc>
          <w:tcPr>
            <w:tcW w:w="2712" w:type="pct"/>
            <w:tcBorders>
              <w:top w:val="nil"/>
              <w:bottom w:val="nil"/>
            </w:tcBorders>
            <w:vAlign w:val="center"/>
          </w:tcPr>
          <w:p w:rsidR="00760CF8" w:rsidRPr="008C18CF" w:rsidRDefault="00760CF8" w:rsidP="00A373EE">
            <w:pPr>
              <w:spacing w:line="36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C18C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Zawartość azotu w gazie*</w:t>
            </w:r>
          </w:p>
        </w:tc>
        <w:tc>
          <w:tcPr>
            <w:tcW w:w="932" w:type="pct"/>
            <w:tcBorders>
              <w:top w:val="nil"/>
              <w:bottom w:val="nil"/>
            </w:tcBorders>
            <w:vAlign w:val="center"/>
          </w:tcPr>
          <w:p w:rsidR="00760CF8" w:rsidRPr="008C18CF" w:rsidRDefault="00760CF8" w:rsidP="00A373EE">
            <w:pPr>
              <w:spacing w:line="36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C18C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%</w:t>
            </w:r>
          </w:p>
        </w:tc>
        <w:tc>
          <w:tcPr>
            <w:tcW w:w="1356" w:type="pct"/>
            <w:tcBorders>
              <w:top w:val="nil"/>
              <w:bottom w:val="nil"/>
            </w:tcBorders>
            <w:vAlign w:val="center"/>
          </w:tcPr>
          <w:p w:rsidR="00760CF8" w:rsidRPr="008C18CF" w:rsidRDefault="00760CF8" w:rsidP="00A373EE">
            <w:pPr>
              <w:spacing w:line="36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highlight w:val="yellow"/>
              </w:rPr>
            </w:pPr>
            <w:r w:rsidRPr="008C18C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0,8</w:t>
            </w:r>
          </w:p>
        </w:tc>
      </w:tr>
      <w:tr w:rsidR="00760CF8" w:rsidRPr="008C18CF" w:rsidTr="00A373EE">
        <w:trPr>
          <w:trHeight w:val="340"/>
        </w:trPr>
        <w:tc>
          <w:tcPr>
            <w:tcW w:w="2712" w:type="pct"/>
            <w:tcBorders>
              <w:top w:val="nil"/>
              <w:bottom w:val="nil"/>
            </w:tcBorders>
            <w:vAlign w:val="center"/>
          </w:tcPr>
          <w:p w:rsidR="00760CF8" w:rsidRPr="008C18CF" w:rsidRDefault="00760CF8" w:rsidP="00A373EE">
            <w:pPr>
              <w:spacing w:line="36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C18C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Zawartość dwutlenku węgla w gazie*</w:t>
            </w:r>
          </w:p>
        </w:tc>
        <w:tc>
          <w:tcPr>
            <w:tcW w:w="932" w:type="pct"/>
            <w:tcBorders>
              <w:top w:val="nil"/>
              <w:bottom w:val="nil"/>
            </w:tcBorders>
            <w:vAlign w:val="center"/>
          </w:tcPr>
          <w:p w:rsidR="00760CF8" w:rsidRPr="008C18CF" w:rsidRDefault="00760CF8" w:rsidP="00A373EE">
            <w:pPr>
              <w:spacing w:line="36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C18C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%</w:t>
            </w:r>
          </w:p>
        </w:tc>
        <w:tc>
          <w:tcPr>
            <w:tcW w:w="1356" w:type="pct"/>
            <w:tcBorders>
              <w:top w:val="nil"/>
              <w:bottom w:val="nil"/>
            </w:tcBorders>
            <w:vAlign w:val="center"/>
          </w:tcPr>
          <w:p w:rsidR="00760CF8" w:rsidRPr="008C18CF" w:rsidRDefault="00760CF8" w:rsidP="00A373EE">
            <w:pPr>
              <w:spacing w:line="36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highlight w:val="yellow"/>
              </w:rPr>
            </w:pPr>
            <w:r w:rsidRPr="008C18C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0,7</w:t>
            </w:r>
          </w:p>
        </w:tc>
      </w:tr>
      <w:tr w:rsidR="00760CF8" w:rsidRPr="008C18CF" w:rsidTr="00A373EE">
        <w:trPr>
          <w:trHeight w:val="340"/>
        </w:trPr>
        <w:tc>
          <w:tcPr>
            <w:tcW w:w="2712" w:type="pct"/>
            <w:tcBorders>
              <w:top w:val="nil"/>
              <w:bottom w:val="single" w:sz="4" w:space="0" w:color="auto"/>
            </w:tcBorders>
            <w:vAlign w:val="center"/>
          </w:tcPr>
          <w:p w:rsidR="00760CF8" w:rsidRPr="008C18CF" w:rsidRDefault="00760CF8" w:rsidP="00A373EE">
            <w:pPr>
              <w:spacing w:line="36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C18C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Współczynnik </w:t>
            </w:r>
            <w:proofErr w:type="spellStart"/>
            <w:r w:rsidRPr="008C18C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cosfi</w:t>
            </w:r>
            <w:proofErr w:type="spellEnd"/>
          </w:p>
        </w:tc>
        <w:tc>
          <w:tcPr>
            <w:tcW w:w="932" w:type="pct"/>
            <w:tcBorders>
              <w:top w:val="nil"/>
              <w:bottom w:val="single" w:sz="4" w:space="0" w:color="auto"/>
            </w:tcBorders>
            <w:vAlign w:val="center"/>
          </w:tcPr>
          <w:p w:rsidR="00760CF8" w:rsidRPr="008C18CF" w:rsidRDefault="00760CF8" w:rsidP="00A373EE">
            <w:pPr>
              <w:spacing w:line="36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C18C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-</w:t>
            </w:r>
          </w:p>
        </w:tc>
        <w:tc>
          <w:tcPr>
            <w:tcW w:w="1356" w:type="pct"/>
            <w:tcBorders>
              <w:top w:val="nil"/>
              <w:bottom w:val="single" w:sz="4" w:space="0" w:color="auto"/>
            </w:tcBorders>
            <w:vAlign w:val="center"/>
          </w:tcPr>
          <w:p w:rsidR="00760CF8" w:rsidRPr="008C18CF" w:rsidRDefault="00760CF8" w:rsidP="00A373EE">
            <w:pPr>
              <w:spacing w:line="36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highlight w:val="yellow"/>
              </w:rPr>
            </w:pPr>
            <w:r w:rsidRPr="008C18C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1,00</w:t>
            </w:r>
          </w:p>
        </w:tc>
      </w:tr>
    </w:tbl>
    <w:p w:rsidR="00760CF8" w:rsidRPr="00092EDD" w:rsidRDefault="00760CF8" w:rsidP="00760CF8">
      <w:pPr>
        <w:rPr>
          <w:rFonts w:ascii="Calibri" w:hAnsi="Calibri" w:cs="Calibri"/>
          <w:szCs w:val="22"/>
        </w:rPr>
      </w:pPr>
    </w:p>
    <w:p w:rsidR="00760CF8" w:rsidRPr="00092EDD" w:rsidRDefault="00760CF8" w:rsidP="00760CF8">
      <w:pPr>
        <w:jc w:val="both"/>
        <w:rPr>
          <w:rFonts w:ascii="Calibri" w:hAnsi="Calibri" w:cs="Calibri"/>
          <w:szCs w:val="22"/>
        </w:rPr>
      </w:pPr>
      <w:r w:rsidRPr="00092EDD">
        <w:rPr>
          <w:rFonts w:ascii="Calibri" w:hAnsi="Calibri" w:cs="Calibri"/>
          <w:szCs w:val="22"/>
        </w:rPr>
        <w:t xml:space="preserve">*) – w </w:t>
      </w:r>
      <w:r>
        <w:rPr>
          <w:rFonts w:ascii="Calibri" w:hAnsi="Calibri" w:cs="Calibri"/>
          <w:szCs w:val="22"/>
        </w:rPr>
        <w:t>układzie pomiarowym</w:t>
      </w:r>
      <w:r w:rsidRPr="00092EDD">
        <w:rPr>
          <w:rFonts w:ascii="Calibri" w:hAnsi="Calibri" w:cs="Calibri"/>
          <w:szCs w:val="22"/>
        </w:rPr>
        <w:t xml:space="preserve"> nie jest przewidziany ciągły pomiar wartości opałowej gazu ziemnego. Pomiar będzie realizowany przez odpowiednie laboratorium w oparciu o próbkę gazu pobraną z rurociągu zasilającego. Wartość opałowa oraz liczba </w:t>
      </w:r>
      <w:proofErr w:type="spellStart"/>
      <w:r w:rsidRPr="00092EDD">
        <w:rPr>
          <w:rFonts w:ascii="Calibri" w:hAnsi="Calibri" w:cs="Calibri"/>
          <w:szCs w:val="22"/>
        </w:rPr>
        <w:t>Wobbego</w:t>
      </w:r>
      <w:proofErr w:type="spellEnd"/>
      <w:r w:rsidRPr="00092EDD">
        <w:rPr>
          <w:rFonts w:ascii="Calibri" w:hAnsi="Calibri" w:cs="Calibri"/>
          <w:szCs w:val="22"/>
        </w:rPr>
        <w:t xml:space="preserve"> gazu zostaną określone zgodnie z normą ISO 6976:2016. Na potrzeby poprawnego przeprowadzenia pomiarów </w:t>
      </w:r>
      <w:r>
        <w:rPr>
          <w:rFonts w:ascii="Calibri" w:hAnsi="Calibri" w:cs="Calibri"/>
          <w:szCs w:val="22"/>
        </w:rPr>
        <w:t>parametrów gwarantowanych</w:t>
      </w:r>
      <w:r w:rsidRPr="00092EDD">
        <w:rPr>
          <w:rFonts w:ascii="Calibri" w:hAnsi="Calibri" w:cs="Calibri"/>
          <w:szCs w:val="22"/>
        </w:rPr>
        <w:t>, wartość opałowa gazu zostanie określona jako średnia arytmetyczna trzech próbek gazu pobranych przed rozpoczęciem pomiarów parametrów gwarantowanych w odstępach co najmniej 1 godziny.</w:t>
      </w:r>
    </w:p>
    <w:p w:rsidR="00760CF8" w:rsidRDefault="00760CF8" w:rsidP="00760CF8">
      <w:pPr>
        <w:jc w:val="both"/>
        <w:rPr>
          <w:rFonts w:ascii="Calibri" w:hAnsi="Calibri" w:cs="Calibri"/>
          <w:szCs w:val="22"/>
        </w:rPr>
      </w:pPr>
    </w:p>
    <w:p w:rsidR="00760CF8" w:rsidRDefault="00760CF8" w:rsidP="00760CF8">
      <w:pPr>
        <w:jc w:val="both"/>
        <w:rPr>
          <w:rFonts w:ascii="Calibri" w:hAnsi="Calibri" w:cs="Calibri"/>
          <w:szCs w:val="22"/>
        </w:rPr>
      </w:pPr>
      <w:r w:rsidRPr="00E4077C">
        <w:rPr>
          <w:rFonts w:ascii="Calibri" w:hAnsi="Calibri" w:cs="Calibri"/>
          <w:szCs w:val="22"/>
        </w:rPr>
        <w:t xml:space="preserve">Wyniki pomiarów przeprowadzone w odmiennych warunkach pogodowych w stosunku do Warunków Referencyjnych, zostaną przeliczone na te warunki w oparciu o dostarczone przez Wykonawcę krzywe korekcyjne w ramach </w:t>
      </w:r>
      <w:r>
        <w:rPr>
          <w:rFonts w:ascii="Calibri" w:hAnsi="Calibri" w:cs="Calibri"/>
          <w:szCs w:val="22"/>
        </w:rPr>
        <w:t>Umowy</w:t>
      </w:r>
      <w:r w:rsidRPr="00E4077C">
        <w:rPr>
          <w:rFonts w:ascii="Calibri" w:hAnsi="Calibri" w:cs="Calibri"/>
          <w:szCs w:val="22"/>
        </w:rPr>
        <w:t xml:space="preserve"> EPC</w:t>
      </w:r>
      <w:r>
        <w:rPr>
          <w:rFonts w:ascii="Calibri" w:hAnsi="Calibri" w:cs="Calibri"/>
          <w:szCs w:val="22"/>
        </w:rPr>
        <w:t>.</w:t>
      </w:r>
    </w:p>
    <w:p w:rsidR="00760CF8" w:rsidRPr="00E4077C" w:rsidRDefault="00760CF8" w:rsidP="00760CF8">
      <w:pPr>
        <w:jc w:val="both"/>
        <w:rPr>
          <w:rFonts w:ascii="Calibri" w:hAnsi="Calibri" w:cs="Calibri"/>
          <w:szCs w:val="22"/>
        </w:rPr>
      </w:pPr>
      <w:r w:rsidRPr="00E4077C">
        <w:rPr>
          <w:rFonts w:ascii="Calibri" w:hAnsi="Calibri" w:cs="Calibri"/>
          <w:szCs w:val="22"/>
        </w:rPr>
        <w:t>Pomiary wykonywane będą wyłącznie dla 100% obciążenia.</w:t>
      </w:r>
    </w:p>
    <w:p w:rsidR="00760CF8" w:rsidRPr="00E4077C" w:rsidRDefault="00760CF8" w:rsidP="00760CF8">
      <w:pPr>
        <w:jc w:val="both"/>
        <w:rPr>
          <w:rFonts w:ascii="Calibri" w:hAnsi="Calibri" w:cs="Calibri"/>
          <w:szCs w:val="22"/>
        </w:rPr>
      </w:pPr>
      <w:r w:rsidRPr="00E4077C">
        <w:rPr>
          <w:rFonts w:ascii="Calibri" w:hAnsi="Calibri" w:cs="Calibri"/>
          <w:szCs w:val="22"/>
        </w:rPr>
        <w:t xml:space="preserve">Pomiary mocy elektrycznej brutto oraz strumienia objętościowego gazu po danej Pracy Planowej (tj. po Remoncie Średnim lub Remoncie </w:t>
      </w:r>
      <w:r w:rsidRPr="00A76E41">
        <w:rPr>
          <w:rFonts w:ascii="Calibri" w:hAnsi="Calibri" w:cs="Calibri"/>
          <w:szCs w:val="22"/>
        </w:rPr>
        <w:t xml:space="preserve">Głównym) będą mierzone bez uwzględnienia niepewności pomiarowych oraz </w:t>
      </w:r>
      <w:r w:rsidRPr="00B54A73">
        <w:rPr>
          <w:rFonts w:ascii="Calibri" w:hAnsi="Calibri" w:cs="Calibri"/>
          <w:szCs w:val="22"/>
          <w:u w:val="single"/>
        </w:rPr>
        <w:t>ale z uwzględnieniem tolerancji wynikających z odpowiednich norm</w:t>
      </w:r>
      <w:r w:rsidRPr="00A76E41">
        <w:rPr>
          <w:rFonts w:ascii="Calibri" w:hAnsi="Calibri" w:cs="Calibri"/>
          <w:szCs w:val="22"/>
        </w:rPr>
        <w:t>.</w:t>
      </w:r>
    </w:p>
    <w:p w:rsidR="00760CF8" w:rsidRPr="00E4077C" w:rsidRDefault="00760CF8" w:rsidP="00760CF8">
      <w:pPr>
        <w:jc w:val="both"/>
        <w:rPr>
          <w:rFonts w:ascii="Calibri" w:hAnsi="Calibri" w:cs="Calibri"/>
          <w:szCs w:val="22"/>
        </w:rPr>
      </w:pPr>
      <w:r w:rsidRPr="00E4077C">
        <w:rPr>
          <w:rFonts w:ascii="Calibri" w:hAnsi="Calibri" w:cs="Calibri"/>
          <w:szCs w:val="22"/>
        </w:rPr>
        <w:t>Pomiary mocy elektrycznej brutto oraz strumienia objętościowego gazu, za pomocą których zostanie wyznaczona sprawność elektryczna brutto będą wykonywane przy udziale Wykonawcy przez</w:t>
      </w:r>
      <w:r>
        <w:rPr>
          <w:rFonts w:ascii="Calibri" w:hAnsi="Calibri" w:cs="Calibri"/>
          <w:szCs w:val="22"/>
        </w:rPr>
        <w:t xml:space="preserve"> akredytowany</w:t>
      </w:r>
      <w:r w:rsidRPr="00E4077C">
        <w:rPr>
          <w:rFonts w:ascii="Calibri" w:hAnsi="Calibri" w:cs="Calibri"/>
          <w:szCs w:val="22"/>
        </w:rPr>
        <w:t xml:space="preserve"> podmiot trzeci.</w:t>
      </w:r>
    </w:p>
    <w:p w:rsidR="00760CF8" w:rsidRDefault="00760CF8" w:rsidP="00760CF8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Podmiot trzeci przeprowadzający</w:t>
      </w:r>
      <w:r w:rsidRPr="00E4077C">
        <w:rPr>
          <w:rFonts w:ascii="Calibri" w:hAnsi="Calibri" w:cs="Calibri"/>
          <w:szCs w:val="22"/>
        </w:rPr>
        <w:t xml:space="preserve"> pomiary dokona przeliczenia (korekcji) parametrów zmierzonych / obliczonych (moc, sprawność, itd.), zagwarantowanych przez Wykonawcę, z warunków faktycznie panujących podczas pomiarów na warunki referencyjne.</w:t>
      </w:r>
    </w:p>
    <w:p w:rsidR="00760CF8" w:rsidRPr="009131C1" w:rsidRDefault="00760CF8" w:rsidP="00760CF8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</w:t>
      </w:r>
      <w:r w:rsidRPr="009131C1">
        <w:rPr>
          <w:rFonts w:ascii="Calibri" w:hAnsi="Calibri" w:cs="Calibri"/>
          <w:szCs w:val="22"/>
        </w:rPr>
        <w:t xml:space="preserve">odczas pomiarów próbkowane będą również rzeczywiste wartości parametrów określonych </w:t>
      </w:r>
      <w:r>
        <w:rPr>
          <w:rFonts w:ascii="Calibri" w:hAnsi="Calibri" w:cs="Calibri"/>
          <w:szCs w:val="22"/>
        </w:rPr>
        <w:t>w powyższej tabeli</w:t>
      </w:r>
      <w:r w:rsidRPr="009131C1">
        <w:rPr>
          <w:rFonts w:ascii="Calibri" w:hAnsi="Calibri" w:cs="Calibri"/>
          <w:szCs w:val="22"/>
        </w:rPr>
        <w:t xml:space="preserve"> (z wyłączeniem parametrów gazu).</w:t>
      </w:r>
    </w:p>
    <w:p w:rsidR="00760CF8" w:rsidRDefault="00760CF8" w:rsidP="00760CF8">
      <w:pPr>
        <w:rPr>
          <w:rFonts w:ascii="Calibri" w:hAnsi="Calibri" w:cs="Calibri"/>
          <w:szCs w:val="22"/>
        </w:rPr>
      </w:pPr>
    </w:p>
    <w:p w:rsidR="00760CF8" w:rsidRPr="00C66EAF" w:rsidRDefault="00760CF8" w:rsidP="00760CF8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lastRenderedPageBreak/>
        <w:t>Obniżenie sprawności elektrycznej brutto Agregatu będzie</w:t>
      </w:r>
      <w:r w:rsidRPr="00C66EAF">
        <w:rPr>
          <w:rFonts w:ascii="Calibri" w:hAnsi="Calibri" w:cs="Calibri"/>
          <w:szCs w:val="22"/>
        </w:rPr>
        <w:t xml:space="preserve"> wyliczan</w:t>
      </w:r>
      <w:r>
        <w:rPr>
          <w:rFonts w:ascii="Calibri" w:hAnsi="Calibri" w:cs="Calibri"/>
          <w:szCs w:val="22"/>
        </w:rPr>
        <w:t>e</w:t>
      </w:r>
      <w:r w:rsidRPr="00C66EAF">
        <w:rPr>
          <w:rFonts w:ascii="Calibri" w:hAnsi="Calibri" w:cs="Calibri"/>
          <w:szCs w:val="22"/>
        </w:rPr>
        <w:t xml:space="preserve"> za pomocą wzoru</w:t>
      </w:r>
      <w:r>
        <w:rPr>
          <w:rFonts w:ascii="Calibri" w:hAnsi="Calibri" w:cs="Calibri"/>
          <w:szCs w:val="22"/>
        </w:rPr>
        <w:t xml:space="preserve"> jak niżej</w:t>
      </w:r>
      <w:r w:rsidRPr="00C66EAF">
        <w:rPr>
          <w:rFonts w:ascii="Calibri" w:hAnsi="Calibri" w:cs="Calibri"/>
          <w:szCs w:val="22"/>
        </w:rPr>
        <w:t>:</w:t>
      </w:r>
      <w:bookmarkEnd w:id="4"/>
    </w:p>
    <w:p w:rsidR="00760CF8" w:rsidRDefault="00760CF8" w:rsidP="00760CF8"/>
    <w:p w:rsidR="00760CF8" w:rsidRDefault="00760CF8" w:rsidP="00760CF8">
      <w:pPr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  <w:sz w:val="32"/>
                </w:rPr>
              </m:ctrlPr>
            </m:sSubPr>
            <m:e>
              <m:r>
                <w:rPr>
                  <w:rFonts w:ascii="Cambria Math" w:hAnsi="Cambria Math" w:cs="Calibri"/>
                  <w:sz w:val="32"/>
                </w:rPr>
                <m:t>∆ƞ</m:t>
              </m:r>
            </m:e>
            <m:sub>
              <m:r>
                <w:rPr>
                  <w:rFonts w:ascii="Cambria Math" w:hAnsi="Cambria Math"/>
                  <w:sz w:val="32"/>
                </w:rPr>
                <m:t>AK</m:t>
              </m:r>
            </m:sub>
          </m:sSub>
          <m:r>
            <w:rPr>
              <w:rFonts w:ascii="Cambria Math" w:hAnsi="Cambria Math"/>
              <w:sz w:val="3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2"/>
                </w:rPr>
              </m:ctrlPr>
            </m:sSubPr>
            <m:e>
              <m:r>
                <w:rPr>
                  <w:rFonts w:ascii="Cambria Math" w:hAnsi="Cambria Math" w:cs="Calibri"/>
                  <w:sz w:val="32"/>
                </w:rPr>
                <m:t>ƞ</m:t>
              </m:r>
            </m:e>
            <m:sub>
              <m:r>
                <w:rPr>
                  <w:rFonts w:ascii="Cambria Math" w:hAnsi="Cambria Math"/>
                  <w:sz w:val="32"/>
                </w:rPr>
                <m:t>AK</m:t>
              </m:r>
            </m:sub>
          </m:sSub>
          <m:r>
            <w:rPr>
              <w:rFonts w:ascii="Cambria Math" w:hAnsi="Cambria Math"/>
              <w:sz w:val="3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32"/>
                </w:rPr>
              </m:ctrlPr>
            </m:sSubPr>
            <m:e>
              <m:r>
                <w:rPr>
                  <w:rFonts w:ascii="Cambria Math" w:hAnsi="Cambria Math" w:cs="Calibri"/>
                  <w:sz w:val="32"/>
                </w:rPr>
                <m:t>ƞ</m:t>
              </m:r>
            </m:e>
            <m:sub>
              <m:r>
                <w:rPr>
                  <w:rFonts w:ascii="Cambria Math" w:hAnsi="Cambria Math"/>
                  <w:sz w:val="32"/>
                </w:rPr>
                <m:t>AK_PP</m:t>
              </m:r>
            </m:sub>
          </m:sSub>
        </m:oMath>
      </m:oMathPara>
    </w:p>
    <w:p w:rsidR="00760CF8" w:rsidRPr="00B77A2D" w:rsidRDefault="00760CF8" w:rsidP="00760CF8"/>
    <w:p w:rsidR="00760CF8" w:rsidRPr="00754149" w:rsidRDefault="00760CF8" w:rsidP="00760CF8">
      <w:pPr>
        <w:ind w:firstLine="709"/>
        <w:rPr>
          <w:rFonts w:cs="Arial"/>
          <w:b/>
          <w:i/>
          <w:iCs/>
          <w:u w:val="single"/>
        </w:rPr>
      </w:pPr>
      <w:r w:rsidRPr="00F02C38">
        <w:rPr>
          <w:rFonts w:ascii="Calibri" w:hAnsi="Calibri" w:cs="Calibri"/>
          <w:szCs w:val="22"/>
        </w:rPr>
        <w:t>gdzie:</w:t>
      </w:r>
    </w:p>
    <w:tbl>
      <w:tblPr>
        <w:tblW w:w="8930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1277"/>
        <w:gridCol w:w="7653"/>
      </w:tblGrid>
      <w:tr w:rsidR="00760CF8" w:rsidRPr="00482C1D" w:rsidTr="00A373EE">
        <w:tc>
          <w:tcPr>
            <w:tcW w:w="1277" w:type="dxa"/>
          </w:tcPr>
          <w:p w:rsidR="00760CF8" w:rsidRPr="00482C1D" w:rsidRDefault="00760CF8" w:rsidP="00A373EE">
            <w:pPr>
              <w:pStyle w:val="TableText3"/>
              <w:spacing w:before="0" w:after="0"/>
              <w:ind w:right="21"/>
              <w:jc w:val="both"/>
              <w:rPr>
                <w:i/>
                <w:sz w:val="22"/>
                <w:szCs w:val="22"/>
                <w:lang w:val="pl-PL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  <w:lang w:val="pl-PL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4"/>
                        <w:lang w:val="pl-PL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</w:rPr>
                      <m:t>ƞ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</w:rPr>
                      <m:t>AK</m:t>
                    </m:r>
                  </m:sub>
                </m:sSub>
              </m:oMath>
            </m:oMathPara>
          </w:p>
        </w:tc>
        <w:tc>
          <w:tcPr>
            <w:tcW w:w="7653" w:type="dxa"/>
            <w:vAlign w:val="center"/>
          </w:tcPr>
          <w:p w:rsidR="00760CF8" w:rsidRPr="00D81E9C" w:rsidRDefault="00760CF8" w:rsidP="00A373EE">
            <w:pPr>
              <w:rPr>
                <w:rFonts w:ascii="Calibri" w:hAnsi="Calibri" w:cs="Calibri"/>
                <w:szCs w:val="22"/>
              </w:rPr>
            </w:pPr>
            <w:r w:rsidRPr="00D81E9C">
              <w:rPr>
                <w:rFonts w:ascii="Calibri" w:hAnsi="Calibri" w:cs="Calibri"/>
                <w:szCs w:val="22"/>
              </w:rPr>
              <w:t xml:space="preserve">obniżenie </w:t>
            </w:r>
            <w:r>
              <w:rPr>
                <w:rFonts w:ascii="Calibri" w:hAnsi="Calibri" w:cs="Calibri"/>
                <w:szCs w:val="22"/>
              </w:rPr>
              <w:t>sprawności elektrycznej</w:t>
            </w:r>
            <w:r w:rsidRPr="00D81E9C">
              <w:rPr>
                <w:rFonts w:ascii="Calibri" w:hAnsi="Calibri" w:cs="Calibri"/>
                <w:szCs w:val="22"/>
              </w:rPr>
              <w:t xml:space="preserve"> brutto</w:t>
            </w:r>
            <w:r>
              <w:rPr>
                <w:rFonts w:ascii="Calibri" w:hAnsi="Calibri" w:cs="Calibri"/>
                <w:szCs w:val="22"/>
              </w:rPr>
              <w:t xml:space="preserve"> Agregatu Kogeneracyjnego</w:t>
            </w:r>
            <w:r w:rsidRPr="00D81E9C">
              <w:rPr>
                <w:rFonts w:ascii="Calibri" w:hAnsi="Calibri" w:cs="Calibri"/>
                <w:szCs w:val="22"/>
              </w:rPr>
              <w:t xml:space="preserve"> [%]</w:t>
            </w:r>
          </w:p>
        </w:tc>
      </w:tr>
      <w:tr w:rsidR="00760CF8" w:rsidRPr="00482C1D" w:rsidTr="00A373EE">
        <w:trPr>
          <w:trHeight w:val="240"/>
        </w:trPr>
        <w:tc>
          <w:tcPr>
            <w:tcW w:w="1277" w:type="dxa"/>
          </w:tcPr>
          <w:p w:rsidR="00760CF8" w:rsidRPr="00482C1D" w:rsidRDefault="00760CF8" w:rsidP="00A373EE">
            <w:pPr>
              <w:pStyle w:val="TableText3"/>
              <w:spacing w:before="0" w:after="0"/>
              <w:ind w:right="21"/>
              <w:jc w:val="both"/>
              <w:rPr>
                <w:i/>
                <w:sz w:val="22"/>
                <w:szCs w:val="22"/>
                <w:lang w:val="pl-P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4"/>
                        <w:lang w:val="pl-PL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</w:rPr>
                      <m:t>ƞ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</w:rPr>
                      <m:t>AK</m:t>
                    </m:r>
                  </m:sub>
                </m:sSub>
              </m:oMath>
            </m:oMathPara>
          </w:p>
        </w:tc>
        <w:tc>
          <w:tcPr>
            <w:tcW w:w="7653" w:type="dxa"/>
            <w:vAlign w:val="center"/>
          </w:tcPr>
          <w:p w:rsidR="00760CF8" w:rsidRPr="00D81E9C" w:rsidRDefault="00760CF8" w:rsidP="00A373EE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sprawność</w:t>
            </w:r>
            <w:r w:rsidRPr="00D81E9C"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rFonts w:ascii="Calibri" w:hAnsi="Calibri" w:cs="Calibri"/>
                <w:szCs w:val="22"/>
              </w:rPr>
              <w:t>elektryczna</w:t>
            </w:r>
            <w:r w:rsidRPr="00D81E9C">
              <w:rPr>
                <w:rFonts w:ascii="Calibri" w:hAnsi="Calibri" w:cs="Calibri"/>
                <w:szCs w:val="22"/>
              </w:rPr>
              <w:t xml:space="preserve"> brutto [</w:t>
            </w:r>
            <w:r>
              <w:rPr>
                <w:rFonts w:ascii="Calibri" w:hAnsi="Calibri" w:cs="Calibri"/>
                <w:szCs w:val="22"/>
              </w:rPr>
              <w:t>%</w:t>
            </w:r>
            <w:r w:rsidRPr="00D81E9C">
              <w:rPr>
                <w:rFonts w:ascii="Calibri" w:hAnsi="Calibri" w:cs="Calibri"/>
                <w:szCs w:val="22"/>
              </w:rPr>
              <w:t>] (</w:t>
            </w:r>
            <w:r>
              <w:rPr>
                <w:rFonts w:ascii="Calibri" w:hAnsi="Calibri" w:cs="Calibri"/>
                <w:szCs w:val="22"/>
              </w:rPr>
              <w:t>początkowa, zmierzona w trakcie pomiarów gwarancyjnych w ramach Umowy EPC</w:t>
            </w:r>
            <w:r w:rsidRPr="00D81E9C">
              <w:rPr>
                <w:rFonts w:ascii="Calibri" w:hAnsi="Calibri" w:cs="Calibri"/>
                <w:szCs w:val="22"/>
              </w:rPr>
              <w:t>)</w:t>
            </w:r>
          </w:p>
        </w:tc>
      </w:tr>
      <w:tr w:rsidR="00760CF8" w:rsidRPr="00482C1D" w:rsidTr="00A373EE">
        <w:trPr>
          <w:trHeight w:val="70"/>
        </w:trPr>
        <w:tc>
          <w:tcPr>
            <w:tcW w:w="1277" w:type="dxa"/>
          </w:tcPr>
          <w:p w:rsidR="00760CF8" w:rsidRPr="00482C1D" w:rsidRDefault="00760CF8" w:rsidP="00A373EE">
            <w:pPr>
              <w:pStyle w:val="TableText3"/>
              <w:spacing w:before="0" w:after="0"/>
              <w:ind w:right="21"/>
              <w:jc w:val="both"/>
              <w:rPr>
                <w:i/>
                <w:sz w:val="22"/>
                <w:szCs w:val="22"/>
                <w:lang w:val="pl-P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4"/>
                        <w:lang w:val="pl-PL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sz w:val="28"/>
                      </w:rPr>
                      <m:t>ƞ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</w:rPr>
                      <m:t>AK_PP</m:t>
                    </m:r>
                  </m:sub>
                </m:sSub>
              </m:oMath>
            </m:oMathPara>
          </w:p>
        </w:tc>
        <w:tc>
          <w:tcPr>
            <w:tcW w:w="7653" w:type="dxa"/>
            <w:vAlign w:val="center"/>
          </w:tcPr>
          <w:p w:rsidR="00760CF8" w:rsidRPr="00D81E9C" w:rsidRDefault="00760CF8" w:rsidP="00A373EE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Sprawność elektryczna brutto po danej</w:t>
            </w:r>
            <w:r w:rsidRPr="00D81E9C"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rFonts w:ascii="Calibri" w:hAnsi="Calibri" w:cs="Calibri"/>
                <w:szCs w:val="22"/>
              </w:rPr>
              <w:t>Pracy</w:t>
            </w:r>
            <w:r w:rsidRPr="00D81E9C">
              <w:rPr>
                <w:rFonts w:ascii="Calibri" w:hAnsi="Calibri" w:cs="Calibri"/>
                <w:szCs w:val="22"/>
              </w:rPr>
              <w:t xml:space="preserve"> Planow</w:t>
            </w:r>
            <w:r>
              <w:rPr>
                <w:rFonts w:ascii="Calibri" w:hAnsi="Calibri" w:cs="Calibri"/>
                <w:szCs w:val="22"/>
              </w:rPr>
              <w:t>ej w postaci Remontu Średniego lub Remontu Głównego [%]</w:t>
            </w:r>
          </w:p>
        </w:tc>
      </w:tr>
    </w:tbl>
    <w:p w:rsidR="00760CF8" w:rsidRDefault="00760CF8" w:rsidP="00760CF8">
      <w:pPr>
        <w:tabs>
          <w:tab w:val="left" w:pos="567"/>
        </w:tabs>
        <w:rPr>
          <w:rFonts w:cs="Arial"/>
          <w:iCs/>
        </w:rPr>
      </w:pPr>
    </w:p>
    <w:p w:rsidR="00760CF8" w:rsidRDefault="00760CF8" w:rsidP="00760CF8">
      <w:pPr>
        <w:tabs>
          <w:tab w:val="left" w:pos="567"/>
        </w:tabs>
        <w:rPr>
          <w:rFonts w:cs="Arial"/>
          <w:iCs/>
        </w:rPr>
      </w:pPr>
    </w:p>
    <w:p w:rsidR="00760CF8" w:rsidRDefault="00760CF8" w:rsidP="00760CF8">
      <w:pPr>
        <w:jc w:val="both"/>
        <w:rPr>
          <w:rFonts w:ascii="Calibri" w:hAnsi="Calibri" w:cs="Calibri"/>
          <w:szCs w:val="22"/>
        </w:rPr>
      </w:pPr>
      <w:r w:rsidRPr="001164AD">
        <w:rPr>
          <w:rFonts w:ascii="Calibri" w:hAnsi="Calibri" w:cs="Calibri"/>
          <w:szCs w:val="22"/>
        </w:rPr>
        <w:t xml:space="preserve">Wykonawca w ofercie zadeklaruje </w:t>
      </w:r>
      <w:r>
        <w:rPr>
          <w:rFonts w:ascii="Calibri" w:hAnsi="Calibri" w:cs="Calibri"/>
          <w:szCs w:val="22"/>
        </w:rPr>
        <w:t>obniżenie sprawności elektrycznej brutto</w:t>
      </w:r>
      <w:r w:rsidRPr="001164AD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dla A</w:t>
      </w:r>
      <w:r w:rsidRPr="001164AD">
        <w:rPr>
          <w:rFonts w:ascii="Calibri" w:hAnsi="Calibri" w:cs="Calibri"/>
          <w:szCs w:val="22"/>
        </w:rPr>
        <w:t>gregat</w:t>
      </w:r>
      <w:r>
        <w:rPr>
          <w:rFonts w:ascii="Calibri" w:hAnsi="Calibri" w:cs="Calibri"/>
          <w:szCs w:val="22"/>
        </w:rPr>
        <w:t>u po każdym Remoncie Średnim i Głównym</w:t>
      </w:r>
      <w:r w:rsidRPr="001164AD">
        <w:rPr>
          <w:rFonts w:ascii="Calibri" w:hAnsi="Calibri" w:cs="Calibri"/>
          <w:szCs w:val="22"/>
        </w:rPr>
        <w:t xml:space="preserve">, przy czym Zamawiający wymaga, aby </w:t>
      </w:r>
      <w:r>
        <w:rPr>
          <w:rFonts w:ascii="Calibri" w:hAnsi="Calibri" w:cs="Calibri"/>
          <w:szCs w:val="22"/>
        </w:rPr>
        <w:t xml:space="preserve">deklaracja była umieszczona w tabeli o wzorze jak niżej. Ponadto, wskazane wartości przez Wykonawcę nie mogą być niższe niż określono w </w:t>
      </w:r>
      <w:r>
        <w:rPr>
          <w:rFonts w:ascii="Calibri" w:hAnsi="Calibri" w:cs="Calibri"/>
          <w:szCs w:val="22"/>
        </w:rPr>
        <w:fldChar w:fldCharType="begin"/>
      </w:r>
      <w:r>
        <w:rPr>
          <w:rFonts w:ascii="Calibri" w:hAnsi="Calibri" w:cs="Calibri"/>
          <w:szCs w:val="22"/>
        </w:rPr>
        <w:instrText xml:space="preserve"> REF _Ref68523052 \r \h </w:instrText>
      </w:r>
      <w:r>
        <w:rPr>
          <w:rFonts w:ascii="Calibri" w:hAnsi="Calibri" w:cs="Calibri"/>
          <w:szCs w:val="22"/>
        </w:rPr>
      </w:r>
      <w:r>
        <w:rPr>
          <w:rFonts w:ascii="Calibri" w:hAnsi="Calibri" w:cs="Calibri"/>
          <w:szCs w:val="22"/>
        </w:rPr>
        <w:fldChar w:fldCharType="separate"/>
      </w:r>
      <w:r>
        <w:rPr>
          <w:rFonts w:ascii="Calibri" w:hAnsi="Calibri" w:cs="Calibri"/>
          <w:szCs w:val="22"/>
        </w:rPr>
        <w:t>§ 9</w:t>
      </w:r>
      <w:r>
        <w:rPr>
          <w:rFonts w:ascii="Calibri" w:hAnsi="Calibri" w:cs="Calibri"/>
          <w:szCs w:val="22"/>
        </w:rPr>
        <w:fldChar w:fldCharType="end"/>
      </w:r>
      <w:r>
        <w:rPr>
          <w:rFonts w:ascii="Calibri" w:hAnsi="Calibri" w:cs="Calibri"/>
          <w:szCs w:val="22"/>
        </w:rPr>
        <w:t xml:space="preserve"> ust </w:t>
      </w:r>
      <w:r>
        <w:rPr>
          <w:rFonts w:ascii="Calibri" w:hAnsi="Calibri" w:cs="Calibri"/>
          <w:szCs w:val="22"/>
        </w:rPr>
        <w:fldChar w:fldCharType="begin"/>
      </w:r>
      <w:r>
        <w:rPr>
          <w:rFonts w:ascii="Calibri" w:hAnsi="Calibri" w:cs="Calibri"/>
          <w:szCs w:val="22"/>
        </w:rPr>
        <w:instrText xml:space="preserve"> REF _Ref68523380 \n \h  \* MERGEFORMAT </w:instrText>
      </w:r>
      <w:r>
        <w:rPr>
          <w:rFonts w:ascii="Calibri" w:hAnsi="Calibri" w:cs="Calibri"/>
          <w:szCs w:val="22"/>
        </w:rPr>
      </w:r>
      <w:r>
        <w:rPr>
          <w:rFonts w:ascii="Calibri" w:hAnsi="Calibri" w:cs="Calibri"/>
          <w:szCs w:val="22"/>
        </w:rPr>
        <w:fldChar w:fldCharType="separate"/>
      </w:r>
      <w:r>
        <w:rPr>
          <w:rFonts w:ascii="Calibri" w:hAnsi="Calibri" w:cs="Calibri"/>
          <w:szCs w:val="22"/>
        </w:rPr>
        <w:t>17</w:t>
      </w:r>
      <w:r>
        <w:rPr>
          <w:rFonts w:ascii="Calibri" w:hAnsi="Calibri" w:cs="Calibri"/>
          <w:szCs w:val="22"/>
        </w:rPr>
        <w:fldChar w:fldCharType="end"/>
      </w:r>
      <w:r>
        <w:rPr>
          <w:rFonts w:ascii="Calibri" w:hAnsi="Calibri" w:cs="Calibri"/>
          <w:szCs w:val="22"/>
        </w:rPr>
        <w:t xml:space="preserve"> Umowy Serwisowej.</w:t>
      </w:r>
    </w:p>
    <w:p w:rsidR="00760CF8" w:rsidRDefault="00760CF8" w:rsidP="00760CF8">
      <w:pPr>
        <w:tabs>
          <w:tab w:val="left" w:pos="567"/>
        </w:tabs>
        <w:rPr>
          <w:rFonts w:cs="Arial"/>
          <w:i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76"/>
        <w:gridCol w:w="2311"/>
        <w:gridCol w:w="2114"/>
        <w:gridCol w:w="2361"/>
      </w:tblGrid>
      <w:tr w:rsidR="00760CF8" w:rsidTr="00A373EE">
        <w:trPr>
          <w:jc w:val="center"/>
        </w:trPr>
        <w:tc>
          <w:tcPr>
            <w:tcW w:w="2601" w:type="dxa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Numer porządkowy Pracy Planowej</w:t>
            </w:r>
          </w:p>
        </w:tc>
        <w:tc>
          <w:tcPr>
            <w:tcW w:w="2602" w:type="dxa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Rok rozliczeniowy</w:t>
            </w:r>
          </w:p>
        </w:tc>
        <w:tc>
          <w:tcPr>
            <w:tcW w:w="2602" w:type="dxa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Liczba RGP</w:t>
            </w:r>
          </w:p>
        </w:tc>
        <w:tc>
          <w:tcPr>
            <w:tcW w:w="2602" w:type="dxa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Gwarantowane obniżenie sprawności elektrycznej brutto Agregatu</w:t>
            </w:r>
          </w:p>
        </w:tc>
      </w:tr>
      <w:tr w:rsidR="00760CF8" w:rsidTr="00A373EE">
        <w:trPr>
          <w:jc w:val="center"/>
        </w:trPr>
        <w:tc>
          <w:tcPr>
            <w:tcW w:w="2601" w:type="dxa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602" w:type="dxa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602" w:type="dxa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602" w:type="dxa"/>
            <w:vAlign w:val="center"/>
          </w:tcPr>
          <w:p w:rsidR="00760CF8" w:rsidRDefault="00760CF8" w:rsidP="00A373E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</w:tbl>
    <w:p w:rsidR="00760CF8" w:rsidRDefault="00760CF8" w:rsidP="00760CF8">
      <w:pPr>
        <w:rPr>
          <w:rFonts w:ascii="Calibri" w:hAnsi="Calibri" w:cs="Calibri"/>
          <w:sz w:val="22"/>
          <w:szCs w:val="22"/>
        </w:rPr>
      </w:pPr>
    </w:p>
    <w:p w:rsidR="00760CF8" w:rsidRPr="008E3543" w:rsidRDefault="00760CF8" w:rsidP="00760CF8">
      <w:pPr>
        <w:rPr>
          <w:rFonts w:ascii="Calibri" w:hAnsi="Calibri" w:cs="Calibri"/>
          <w:szCs w:val="22"/>
        </w:rPr>
      </w:pPr>
      <w:r w:rsidRPr="008E3543">
        <w:rPr>
          <w:rFonts w:ascii="Calibri" w:hAnsi="Calibri" w:cs="Calibri"/>
          <w:szCs w:val="22"/>
        </w:rPr>
        <w:t>UWAGI:</w:t>
      </w:r>
    </w:p>
    <w:p w:rsidR="00760CF8" w:rsidRDefault="00760CF8" w:rsidP="00760CF8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Cs w:val="22"/>
        </w:rPr>
      </w:pPr>
      <w:r w:rsidRPr="008E3543">
        <w:rPr>
          <w:rFonts w:ascii="Calibri" w:hAnsi="Calibri" w:cs="Calibri"/>
          <w:szCs w:val="22"/>
        </w:rPr>
        <w:t xml:space="preserve">W kolumnie „Numer porządkowy Pracy Planowej” </w:t>
      </w:r>
      <w:r>
        <w:rPr>
          <w:rFonts w:ascii="Calibri" w:hAnsi="Calibri" w:cs="Calibri"/>
          <w:szCs w:val="22"/>
        </w:rPr>
        <w:t>należy</w:t>
      </w:r>
      <w:r w:rsidRPr="008E3543">
        <w:rPr>
          <w:rFonts w:ascii="Calibri" w:hAnsi="Calibri" w:cs="Calibri"/>
          <w:szCs w:val="22"/>
        </w:rPr>
        <w:t xml:space="preserve"> poda</w:t>
      </w:r>
      <w:r>
        <w:rPr>
          <w:rFonts w:ascii="Calibri" w:hAnsi="Calibri" w:cs="Calibri"/>
          <w:szCs w:val="22"/>
        </w:rPr>
        <w:t>ć w osobnych wierszach</w:t>
      </w:r>
      <w:r w:rsidRPr="008E3543">
        <w:rPr>
          <w:rFonts w:ascii="Calibri" w:hAnsi="Calibri" w:cs="Calibri"/>
          <w:szCs w:val="22"/>
        </w:rPr>
        <w:t xml:space="preserve"> numer</w:t>
      </w:r>
      <w:r>
        <w:rPr>
          <w:rFonts w:ascii="Calibri" w:hAnsi="Calibri" w:cs="Calibri"/>
          <w:szCs w:val="22"/>
        </w:rPr>
        <w:t>y</w:t>
      </w:r>
      <w:r w:rsidRPr="008E3543">
        <w:rPr>
          <w:rFonts w:ascii="Calibri" w:hAnsi="Calibri" w:cs="Calibri"/>
          <w:szCs w:val="22"/>
        </w:rPr>
        <w:t xml:space="preserve"> porządkow</w:t>
      </w:r>
      <w:r>
        <w:rPr>
          <w:rFonts w:ascii="Calibri" w:hAnsi="Calibri" w:cs="Calibri"/>
          <w:szCs w:val="22"/>
        </w:rPr>
        <w:t>e każdej Pracy Planowej będącej Remontem Średnim lub Głównym</w:t>
      </w:r>
      <w:r w:rsidRPr="008E3543">
        <w:rPr>
          <w:rFonts w:ascii="Calibri" w:hAnsi="Calibri" w:cs="Calibri"/>
          <w:szCs w:val="22"/>
        </w:rPr>
        <w:t xml:space="preserve"> zgodnie z Harmonogramem Prac Planowych (</w:t>
      </w:r>
      <w:r w:rsidRPr="008E3543">
        <w:rPr>
          <w:rFonts w:ascii="Calibri" w:hAnsi="Calibri" w:cs="Calibri"/>
          <w:szCs w:val="22"/>
        </w:rPr>
        <w:fldChar w:fldCharType="begin"/>
      </w:r>
      <w:r w:rsidRPr="008E3543">
        <w:rPr>
          <w:rFonts w:ascii="Calibri" w:hAnsi="Calibri" w:cs="Calibri"/>
          <w:szCs w:val="22"/>
        </w:rPr>
        <w:instrText xml:space="preserve"> REF _Ref53489899 \r \h </w:instrText>
      </w:r>
      <w:r>
        <w:rPr>
          <w:rFonts w:ascii="Calibri" w:hAnsi="Calibri" w:cs="Calibri"/>
          <w:szCs w:val="22"/>
        </w:rPr>
        <w:instrText xml:space="preserve"> \* MERGEFORMAT </w:instrText>
      </w:r>
      <w:r w:rsidRPr="008E3543">
        <w:rPr>
          <w:rFonts w:ascii="Calibri" w:hAnsi="Calibri" w:cs="Calibri"/>
          <w:szCs w:val="22"/>
        </w:rPr>
      </w:r>
      <w:r w:rsidRPr="008E3543">
        <w:rPr>
          <w:rFonts w:ascii="Calibri" w:hAnsi="Calibri" w:cs="Calibri"/>
          <w:szCs w:val="22"/>
        </w:rPr>
        <w:fldChar w:fldCharType="separate"/>
      </w:r>
      <w:r>
        <w:rPr>
          <w:rFonts w:ascii="Calibri" w:hAnsi="Calibri" w:cs="Calibri"/>
          <w:szCs w:val="22"/>
        </w:rPr>
        <w:t>Załącznik nr 3</w:t>
      </w:r>
      <w:r w:rsidRPr="008E3543">
        <w:rPr>
          <w:rFonts w:ascii="Calibri" w:hAnsi="Calibri" w:cs="Calibri"/>
          <w:szCs w:val="22"/>
        </w:rPr>
        <w:fldChar w:fldCharType="end"/>
      </w:r>
      <w:r w:rsidRPr="008E3543">
        <w:rPr>
          <w:rFonts w:ascii="Calibri" w:hAnsi="Calibri" w:cs="Calibri"/>
          <w:szCs w:val="22"/>
        </w:rPr>
        <w:t>)</w:t>
      </w:r>
      <w:r>
        <w:rPr>
          <w:rFonts w:ascii="Calibri" w:hAnsi="Calibri" w:cs="Calibri"/>
          <w:szCs w:val="22"/>
        </w:rPr>
        <w:t>,</w:t>
      </w:r>
    </w:p>
    <w:p w:rsidR="00760CF8" w:rsidRDefault="00760CF8" w:rsidP="00760CF8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W kolumnie „Rok Rozliczeniowy” należy wskazać, w którym Roku Rozliczeniowym Umowy Serwisowej występuje określona powyżej Praca Planowa,</w:t>
      </w:r>
    </w:p>
    <w:p w:rsidR="00760CF8" w:rsidRDefault="00760CF8" w:rsidP="00760CF8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W kolumnie „Liczba RGP” należy wskazać liczbę RGP w postaci narastającej, po której przewidywane jest wykonanie Pracy Planowej będącej Remontem Średnim lub Remontem Głównym, po którym następuje pomiar Parametru Gwarantowanego – obniżenie sprawności elektrycznej brutto Agregatu,</w:t>
      </w:r>
    </w:p>
    <w:p w:rsidR="00760CF8" w:rsidRPr="008E3543" w:rsidRDefault="00760CF8" w:rsidP="00760CF8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W kolumnie „Gwarantowane obniżenie sprawności elektrycznej brutto Agregatu” należy wprowadzić gwarantowaną wartość Parametru – wartość procentowa z uwzględnieniem dwóch miejsc po przecinku.</w:t>
      </w:r>
    </w:p>
    <w:p w:rsidR="00760CF8" w:rsidRDefault="00760CF8" w:rsidP="00760CF8">
      <w:pPr>
        <w:jc w:val="both"/>
        <w:rPr>
          <w:rFonts w:ascii="Calibri" w:hAnsi="Calibri" w:cs="Calibri"/>
          <w:sz w:val="22"/>
          <w:szCs w:val="22"/>
        </w:rPr>
      </w:pPr>
    </w:p>
    <w:p w:rsidR="00853F4F" w:rsidRDefault="00853F4F"/>
    <w:sectPr w:rsidR="00853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14E88"/>
    <w:multiLevelType w:val="multilevel"/>
    <w:tmpl w:val="352412F0"/>
    <w:numStyleLink w:val="Styl1"/>
  </w:abstractNum>
  <w:abstractNum w:abstractNumId="1" w15:restartNumberingAfterBreak="0">
    <w:nsid w:val="54A74E41"/>
    <w:multiLevelType w:val="hybridMultilevel"/>
    <w:tmpl w:val="C870E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C41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2E24B7F"/>
    <w:multiLevelType w:val="multilevel"/>
    <w:tmpl w:val="352412F0"/>
    <w:styleLink w:val="Styl1"/>
    <w:lvl w:ilvl="0">
      <w:start w:val="1"/>
      <w:numFmt w:val="decimal"/>
      <w:suff w:val="space"/>
      <w:lvlText w:val="Załącznik nr %1"/>
      <w:lvlJc w:val="left"/>
      <w:pPr>
        <w:ind w:left="0" w:firstLine="0"/>
      </w:pPr>
      <w:rPr>
        <w:rFonts w:asciiTheme="minorHAnsi" w:hAnsiTheme="minorHAnsi" w:hint="default"/>
        <w:b/>
        <w:sz w:val="4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5D85A87"/>
    <w:multiLevelType w:val="multilevel"/>
    <w:tmpl w:val="04150029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  <w:lvlOverride w:ilvl="0">
      <w:lvl w:ilvl="0">
        <w:start w:val="8"/>
        <w:numFmt w:val="decimal"/>
        <w:suff w:val="space"/>
        <w:lvlText w:val="Załącznik nr %1"/>
        <w:lvlJc w:val="left"/>
        <w:pPr>
          <w:ind w:left="0" w:firstLine="0"/>
        </w:pPr>
        <w:rPr>
          <w:rFonts w:asciiTheme="minorHAnsi" w:hAnsiTheme="minorHAnsi" w:hint="default"/>
          <w:b/>
          <w:sz w:val="40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CF8"/>
    <w:rsid w:val="00760CF8"/>
    <w:rsid w:val="0085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04A7"/>
  <w15:chartTrackingRefBased/>
  <w15:docId w15:val="{4001C685-AD0C-4E30-A582-2A95C7B1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0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60CF8"/>
    <w:pPr>
      <w:keepNext/>
      <w:numPr>
        <w:numId w:val="2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760CF8"/>
    <w:pPr>
      <w:keepNext/>
      <w:numPr>
        <w:ilvl w:val="1"/>
        <w:numId w:val="2"/>
      </w:numPr>
      <w:spacing w:before="120" w:after="120"/>
      <w:outlineLvl w:val="1"/>
    </w:pPr>
    <w:rPr>
      <w:rFonts w:asciiTheme="minorHAnsi" w:hAnsiTheme="minorHAnsi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60CF8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60CF8"/>
    <w:pPr>
      <w:keepNext/>
      <w:numPr>
        <w:ilvl w:val="3"/>
        <w:numId w:val="2"/>
      </w:numPr>
      <w:outlineLvl w:val="3"/>
    </w:pPr>
    <w:rPr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0CF8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0CF8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1"/>
    <w:qFormat/>
    <w:rsid w:val="00760CF8"/>
    <w:pPr>
      <w:numPr>
        <w:ilvl w:val="6"/>
        <w:numId w:val="2"/>
      </w:numPr>
      <w:tabs>
        <w:tab w:val="num" w:pos="4320"/>
      </w:tabs>
      <w:suppressAutoHyphens/>
      <w:spacing w:before="240" w:after="60" w:line="264" w:lineRule="auto"/>
      <w:ind w:right="28"/>
      <w:outlineLvl w:val="6"/>
    </w:pPr>
    <w:rPr>
      <w:rFonts w:ascii="Arial" w:hAnsi="Arial" w:cs="Arial"/>
      <w:b/>
      <w:bCs/>
      <w:caps/>
      <w:kern w:val="1"/>
      <w:sz w:val="28"/>
      <w:szCs w:val="28"/>
      <w:lang w:eastAsia="ar-SA"/>
    </w:rPr>
  </w:style>
  <w:style w:type="paragraph" w:styleId="Nagwek8">
    <w:name w:val="heading 8"/>
    <w:basedOn w:val="Normalny"/>
    <w:next w:val="Normalny"/>
    <w:link w:val="Nagwek8Znak"/>
    <w:uiPriority w:val="1"/>
    <w:unhideWhenUsed/>
    <w:qFormat/>
    <w:rsid w:val="00760CF8"/>
    <w:pPr>
      <w:keepNext/>
      <w:keepLines/>
      <w:widowControl w:val="0"/>
      <w:numPr>
        <w:ilvl w:val="7"/>
        <w:numId w:val="2"/>
      </w:numPr>
      <w:suppressAutoHyphens/>
      <w:spacing w:before="40"/>
      <w:ind w:right="17"/>
      <w:jc w:val="both"/>
      <w:outlineLvl w:val="7"/>
    </w:pPr>
    <w:rPr>
      <w:rFonts w:ascii="Cambria" w:hAnsi="Cambria"/>
      <w:color w:val="272727"/>
      <w:sz w:val="21"/>
      <w:szCs w:val="21"/>
      <w:lang w:eastAsia="ar-SA"/>
    </w:rPr>
  </w:style>
  <w:style w:type="paragraph" w:styleId="Nagwek9">
    <w:name w:val="heading 9"/>
    <w:aliases w:val="(Appendix)"/>
    <w:basedOn w:val="Normalny"/>
    <w:next w:val="Normalny"/>
    <w:link w:val="Nagwek9Znak"/>
    <w:uiPriority w:val="1"/>
    <w:qFormat/>
    <w:rsid w:val="00760CF8"/>
    <w:pPr>
      <w:numPr>
        <w:ilvl w:val="8"/>
        <w:numId w:val="2"/>
      </w:numPr>
      <w:tabs>
        <w:tab w:val="num" w:pos="5760"/>
      </w:tabs>
      <w:suppressAutoHyphens/>
      <w:spacing w:before="240" w:after="60" w:line="264" w:lineRule="auto"/>
      <w:ind w:right="28"/>
      <w:outlineLvl w:val="8"/>
    </w:pPr>
    <w:rPr>
      <w:rFonts w:ascii="Arial" w:hAnsi="Arial" w:cs="Arial"/>
      <w:b/>
      <w:bCs/>
      <w:cap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60CF8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760CF8"/>
    <w:rPr>
      <w:rFonts w:eastAsia="Times New Roman" w:cs="Times New Roman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60CF8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60CF8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0CF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0CF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1"/>
    <w:rsid w:val="00760CF8"/>
    <w:rPr>
      <w:rFonts w:ascii="Arial" w:eastAsia="Times New Roman" w:hAnsi="Arial" w:cs="Arial"/>
      <w:b/>
      <w:bCs/>
      <w:caps/>
      <w:kern w:val="1"/>
      <w:sz w:val="28"/>
      <w:szCs w:val="28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1"/>
    <w:rsid w:val="00760CF8"/>
    <w:rPr>
      <w:rFonts w:ascii="Cambria" w:eastAsia="Times New Roman" w:hAnsi="Cambria" w:cs="Times New Roman"/>
      <w:color w:val="272727"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1"/>
    <w:rsid w:val="00760CF8"/>
    <w:rPr>
      <w:rFonts w:ascii="Arial" w:eastAsia="Times New Roman" w:hAnsi="Arial" w:cs="Arial"/>
      <w:b/>
      <w:bCs/>
      <w:caps/>
      <w:kern w:val="1"/>
      <w:sz w:val="32"/>
      <w:szCs w:val="32"/>
      <w:lang w:eastAsia="ar-SA"/>
    </w:rPr>
  </w:style>
  <w:style w:type="paragraph" w:styleId="Akapitzlist">
    <w:name w:val="List Paragraph"/>
    <w:aliases w:val="Preambuła,HŁ_Bullet1,lp1,Normal,Akapit z listą3,Akapit z listą31,Wypunktowanie,List Paragraph,Normal2,Akapit z listą1,Obiekt,List Paragraph1,Wyliczanie,Numerowanie,BulletC,Podsis rysunku,Normalny1,Styl 1,Punktowanie,Tytuły,Normalny11"/>
    <w:basedOn w:val="Normalny"/>
    <w:link w:val="AkapitzlistZnak"/>
    <w:uiPriority w:val="34"/>
    <w:qFormat/>
    <w:rsid w:val="00760CF8"/>
    <w:pPr>
      <w:ind w:left="720"/>
      <w:contextualSpacing/>
    </w:pPr>
  </w:style>
  <w:style w:type="character" w:customStyle="1" w:styleId="AkapitzlistZnak">
    <w:name w:val="Akapit z listą Znak"/>
    <w:aliases w:val="Preambuła Znak,HŁ_Bullet1 Znak,lp1 Znak,Normal Znak,Akapit z listą3 Znak,Akapit z listą31 Znak,Wypunktowanie Znak,List Paragraph Znak,Normal2 Znak,Akapit z listą1 Znak,Obiekt Znak,List Paragraph1 Znak,Wyliczanie Znak,Numerowanie Znak"/>
    <w:link w:val="Akapitzlist"/>
    <w:uiPriority w:val="34"/>
    <w:locked/>
    <w:rsid w:val="00760CF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60CF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3">
    <w:name w:val="Table_Text 3"/>
    <w:basedOn w:val="Normalny"/>
    <w:uiPriority w:val="99"/>
    <w:rsid w:val="00760CF8"/>
    <w:pPr>
      <w:spacing w:before="60" w:after="60"/>
    </w:pPr>
    <w:rPr>
      <w:rFonts w:ascii="Arial" w:hAnsi="Arial" w:cs="Arial"/>
      <w:sz w:val="20"/>
      <w:szCs w:val="20"/>
      <w:lang w:val="de-CH"/>
    </w:rPr>
  </w:style>
  <w:style w:type="numbering" w:customStyle="1" w:styleId="Styl1">
    <w:name w:val="Styl1"/>
    <w:uiPriority w:val="99"/>
    <w:rsid w:val="00760CF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1274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Szczypka</dc:creator>
  <cp:keywords/>
  <dc:description/>
  <cp:lastModifiedBy>Wojciech Szczypka</cp:lastModifiedBy>
  <cp:revision>1</cp:revision>
  <dcterms:created xsi:type="dcterms:W3CDTF">2024-05-27T04:53:00Z</dcterms:created>
  <dcterms:modified xsi:type="dcterms:W3CDTF">2024-05-27T04:54:00Z</dcterms:modified>
</cp:coreProperties>
</file>